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7" w:right="0" w:hanging="0"/>
        <w:jc w:val="center"/>
        <w:rPr/>
      </w:pPr>
      <w:r>
        <w:rPr>
          <w:b/>
          <w:color w:val="202020"/>
          <w:spacing w:val="2"/>
          <w:sz w:val="24"/>
        </w:rPr>
        <w:t>ДОГОВОР № _____</w:t>
      </w:r>
    </w:p>
    <w:p>
      <w:pPr>
        <w:pStyle w:val="Normal"/>
        <w:ind w:left="7" w:right="0" w:hanging="0"/>
        <w:jc w:val="center"/>
        <w:rPr/>
      </w:pPr>
      <w:r>
        <w:rPr>
          <w:color w:val="202020"/>
          <w:sz w:val="24"/>
        </w:rPr>
        <w:t xml:space="preserve">о реагировании </w:t>
      </w:r>
      <w:r>
        <w:rPr>
          <w:color w:val="202020"/>
          <w:spacing w:val="0"/>
          <w:sz w:val="24"/>
        </w:rPr>
        <w:t>подразделениями вневедомственной охраны на сообщения о срабатывании  тревожной и/или охранной сигнализации посредством програмно-аппаратного комплекса взаимодействия с мониторинговыми компаниями</w:t>
      </w:r>
    </w:p>
    <w:p>
      <w:pPr>
        <w:pStyle w:val="Normal"/>
        <w:ind w:left="7" w:right="0" w:hanging="0"/>
        <w:jc w:val="center"/>
        <w:rPr>
          <w:spacing w:val="3"/>
          <w:sz w:val="24"/>
        </w:rPr>
      </w:pPr>
      <w:r>
        <w:rPr>
          <w:spacing w:val="3"/>
          <w:sz w:val="24"/>
        </w:rPr>
      </w:r>
    </w:p>
    <w:p>
      <w:pPr>
        <w:pStyle w:val="Normal"/>
        <w:ind w:left="7" w:right="0" w:hanging="0"/>
        <w:jc w:val="center"/>
        <w:rPr/>
      </w:pPr>
      <w:r>
        <w:rPr>
          <w:color w:val="202020"/>
          <w:spacing w:val="-1"/>
          <w:sz w:val="24"/>
        </w:rPr>
        <w:t xml:space="preserve">г. Калининград </w:t>
      </w:r>
      <w:r>
        <w:rPr>
          <w:color w:val="202020"/>
          <w:sz w:val="24"/>
        </w:rPr>
        <w:t xml:space="preserve">                                                                             «___</w:t>
      </w:r>
      <w:r>
        <w:rPr>
          <w:color w:val="000000"/>
          <w:sz w:val="24"/>
        </w:rPr>
        <w:t>» __________</w:t>
      </w:r>
      <w:r>
        <w:rPr>
          <w:color w:val="202020"/>
          <w:spacing w:val="-7"/>
          <w:sz w:val="24"/>
        </w:rPr>
        <w:t xml:space="preserve">20__ </w:t>
      </w:r>
      <w:r>
        <w:rPr>
          <w:color w:val="000000"/>
          <w:spacing w:val="-11"/>
          <w:sz w:val="24"/>
        </w:rPr>
        <w:t>года</w:t>
      </w:r>
    </w:p>
    <w:p>
      <w:pPr>
        <w:pStyle w:val="Normal"/>
        <w:spacing w:before="266" w:after="0"/>
        <w:ind w:left="22" w:right="0" w:firstLine="720"/>
        <w:jc w:val="both"/>
        <w:rPr/>
      </w:pPr>
      <w:r>
        <w:rPr>
          <w:b/>
          <w:spacing w:val="-2"/>
          <w:sz w:val="24"/>
        </w:rPr>
        <w:t xml:space="preserve">Федеральное государственное казенное учреждение «Управление вневедомственной охраны войск национальной гвардии Российской Федерации по </w:t>
      </w:r>
      <w:r>
        <w:rPr>
          <w:b/>
          <w:color w:val="000000"/>
          <w:spacing w:val="-2"/>
          <w:sz w:val="24"/>
        </w:rPr>
        <w:t>Калининградской области</w:t>
      </w:r>
      <w:r>
        <w:rPr>
          <w:b/>
          <w:spacing w:val="-2"/>
          <w:sz w:val="24"/>
        </w:rPr>
        <w:t>»,</w:t>
      </w:r>
      <w:r>
        <w:rPr>
          <w:spacing w:val="-2"/>
          <w:sz w:val="24"/>
        </w:rPr>
        <w:t xml:space="preserve"> </w:t>
      </w:r>
      <w:r>
        <w:rPr>
          <w:spacing w:val="2"/>
          <w:sz w:val="24"/>
        </w:rPr>
        <w:t>именуемое в дальнейше</w:t>
      </w:r>
      <w:r>
        <w:rPr>
          <w:b w:val="false"/>
          <w:spacing w:val="2"/>
          <w:sz w:val="24"/>
        </w:rPr>
        <w:t>м «Исполнитель»,</w:t>
      </w:r>
      <w:r>
        <w:rPr>
          <w:b w:val="false"/>
          <w:spacing w:val="-2"/>
          <w:sz w:val="24"/>
        </w:rPr>
        <w:t xml:space="preserve"> </w:t>
      </w:r>
      <w:r>
        <w:rPr>
          <w:spacing w:val="-2"/>
          <w:sz w:val="24"/>
        </w:rPr>
        <w:t>в лице</w:t>
      </w:r>
      <w:r>
        <w:rPr>
          <w:b/>
          <w:spacing w:val="-2"/>
          <w:sz w:val="24"/>
        </w:rPr>
        <w:t xml:space="preserve"> начальника </w:t>
      </w:r>
      <w:r>
        <w:rPr>
          <w:b/>
          <w:color w:val="000000"/>
          <w:spacing w:val="-2"/>
          <w:sz w:val="24"/>
        </w:rPr>
        <w:t>Гинч Евгения Ивановича</w:t>
      </w:r>
      <w:r>
        <w:rPr>
          <w:spacing w:val="2"/>
          <w:sz w:val="24"/>
        </w:rPr>
        <w:t xml:space="preserve">, </w:t>
      </w:r>
      <w:r>
        <w:rPr>
          <w:spacing w:val="-3"/>
          <w:sz w:val="24"/>
        </w:rPr>
        <w:t>действующего на основании Устава</w:t>
      </w:r>
      <w:r>
        <w:rPr>
          <w:spacing w:val="2"/>
          <w:sz w:val="24"/>
        </w:rPr>
        <w:t>,</w:t>
      </w:r>
      <w:r>
        <w:rPr>
          <w:sz w:val="24"/>
        </w:rPr>
        <w:t xml:space="preserve"> с одной стороны, и</w:t>
      </w:r>
      <w:r>
        <w:rPr>
          <w:b/>
          <w:sz w:val="24"/>
        </w:rPr>
        <w:t xml:space="preserve"> </w:t>
      </w:r>
      <w:r>
        <w:rPr>
          <w:b/>
          <w:color w:val="000000"/>
          <w:sz w:val="24"/>
          <w:highlight w:val="white"/>
        </w:rPr>
        <w:t>Общество с ограниченной ответственностью «Частная охранная организация «</w:t>
      </w:r>
      <w:r>
        <w:rPr>
          <w:b/>
          <w:color w:val="000000"/>
          <w:spacing w:val="0"/>
          <w:sz w:val="24"/>
          <w:highlight w:val="white"/>
        </w:rPr>
        <w:t>Нименование</w:t>
      </w:r>
      <w:r>
        <w:rPr>
          <w:b/>
          <w:color w:val="000000"/>
          <w:sz w:val="24"/>
          <w:highlight w:val="white"/>
        </w:rPr>
        <w:t>»</w:t>
      </w:r>
      <w:r>
        <w:rPr>
          <w:b/>
          <w:sz w:val="24"/>
          <w:highlight w:val="white"/>
        </w:rPr>
        <w:t xml:space="preserve">, </w:t>
      </w:r>
      <w:r>
        <w:rPr>
          <w:sz w:val="24"/>
          <w:highlight w:val="white"/>
        </w:rPr>
        <w:t>именуемое в дальнейшем</w:t>
      </w:r>
      <w:r>
        <w:rPr>
          <w:b w:val="false"/>
          <w:sz w:val="24"/>
          <w:highlight w:val="white"/>
        </w:rPr>
        <w:t xml:space="preserve"> «Заказчик», </w:t>
      </w:r>
      <w:r>
        <w:rPr>
          <w:b w:val="false"/>
          <w:color w:val="000000"/>
          <w:spacing w:val="7"/>
          <w:sz w:val="24"/>
          <w:highlight w:val="white"/>
        </w:rPr>
        <w:t>лицензия на осуществление частной охранной деятельности № 8667 от 27 мая 2011 г., выдана Главным Управлением Росгвардии по городу Москве, в лице</w:t>
      </w:r>
      <w:r>
        <w:rPr>
          <w:b/>
          <w:color w:val="000000"/>
          <w:spacing w:val="7"/>
          <w:sz w:val="24"/>
          <w:highlight w:val="white"/>
        </w:rPr>
        <w:t xml:space="preserve"> генерального директора Фамилия Имя Отчетсво</w:t>
      </w:r>
      <w:r>
        <w:rPr>
          <w:b w:val="false"/>
          <w:color w:val="000000"/>
          <w:spacing w:val="7"/>
          <w:sz w:val="24"/>
          <w:highlight w:val="white"/>
        </w:rPr>
        <w:t>, действующего на основании Устава</w:t>
      </w:r>
      <w:r>
        <w:rPr>
          <w:color w:val="000000"/>
          <w:spacing w:val="7"/>
          <w:sz w:val="24"/>
          <w:highlight w:val="white"/>
        </w:rPr>
        <w:t xml:space="preserve">, с другой стороны, (далее - «Стороны») заключили </w:t>
      </w:r>
      <w:r>
        <w:rPr>
          <w:color w:val="000000"/>
          <w:sz w:val="24"/>
          <w:highlight w:val="white"/>
        </w:rPr>
        <w:t>настоящий договор о нижеследующе</w:t>
      </w:r>
      <w:r>
        <w:rPr>
          <w:color w:val="000000"/>
          <w:sz w:val="24"/>
        </w:rPr>
        <w:t>м:</w:t>
      </w:r>
    </w:p>
    <w:p>
      <w:pPr>
        <w:pStyle w:val="Style49"/>
        <w:jc w:val="center"/>
        <w:rPr>
          <w:sz w:val="24"/>
        </w:rPr>
      </w:pPr>
      <w:r>
        <w:rPr>
          <w:sz w:val="24"/>
        </w:rPr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z w:val="24"/>
        </w:rPr>
        <w:t>I. ПРЕДМЕТ ДОГОВОРА</w:t>
      </w:r>
    </w:p>
    <w:p>
      <w:pPr>
        <w:pStyle w:val="Style49"/>
        <w:jc w:val="center"/>
        <w:rPr>
          <w:rFonts w:ascii="Times New Roman" w:hAnsi="Times New Roman"/>
          <w:b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Style49"/>
        <w:widowControl w:val="false"/>
        <w:numPr>
          <w:ilvl w:val="1"/>
          <w:numId w:val="2"/>
        </w:numPr>
        <w:tabs>
          <w:tab w:val="clear" w:pos="708"/>
          <w:tab w:val="left" w:pos="0" w:leader="none"/>
          <w:tab w:val="left" w:pos="993" w:leader="none"/>
        </w:tabs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  <w:spacing w:val="3"/>
          <w:sz w:val="24"/>
        </w:rPr>
        <w:t xml:space="preserve">Предметом настоящего договора является оказание услуги по направлению наряда группы задержания Исполнителя на объект, подключенный на пульт централизованного наблюдения Заказчика (далее - Объект), в случае поступлении информации в виде «тревожных» сообщений с автоматизированного рабочего места Заказчика (далее – АРМ Заказчика) на автоматизированное рабочее место Исполнителя (далее - АРМ Исполнителя) посредством программно-аппаратного комплекса взаимодействия с мониторинговыми компаниями (далее – ПАК ВсМК) (далее – Услуга). </w:t>
      </w:r>
    </w:p>
    <w:p>
      <w:pPr>
        <w:pStyle w:val="Style49"/>
        <w:widowControl w:val="false"/>
        <w:numPr>
          <w:ilvl w:val="1"/>
          <w:numId w:val="2"/>
        </w:numPr>
        <w:tabs>
          <w:tab w:val="clear" w:pos="708"/>
          <w:tab w:val="left" w:pos="0" w:leader="none"/>
          <w:tab w:val="left" w:pos="993" w:leader="none"/>
        </w:tabs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  <w:spacing w:val="3"/>
          <w:sz w:val="24"/>
        </w:rPr>
        <w:t>Услуга включает в себя:</w:t>
      </w:r>
    </w:p>
    <w:p>
      <w:pPr>
        <w:pStyle w:val="Style49"/>
        <w:widowControl w:val="false"/>
        <w:numPr>
          <w:ilvl w:val="2"/>
          <w:numId w:val="2"/>
        </w:numPr>
        <w:tabs>
          <w:tab w:val="clear" w:pos="708"/>
          <w:tab w:val="left" w:pos="0" w:leader="none"/>
          <w:tab w:val="left" w:pos="1276" w:leader="none"/>
        </w:tabs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  <w:spacing w:val="3"/>
          <w:sz w:val="24"/>
        </w:rPr>
        <w:t xml:space="preserve">Обеспечение круглосуточного приема «тревожных» сообщений на АРМ Исполнителя посредством ПАК ВсМК о срабатывании технических средств </w:t>
      </w:r>
      <w:r>
        <w:rPr>
          <w:rFonts w:ascii="Times New Roman" w:hAnsi="Times New Roman"/>
          <w:b w:val="false"/>
          <w:sz w:val="24"/>
        </w:rPr>
        <w:t xml:space="preserve">охранной и (или) </w:t>
      </w:r>
      <w:r>
        <w:rPr>
          <w:rFonts w:ascii="Times New Roman" w:hAnsi="Times New Roman"/>
          <w:b w:val="false"/>
          <w:color w:val="000000"/>
          <w:sz w:val="24"/>
        </w:rPr>
        <w:t>тревожной сигнализации</w:t>
      </w:r>
      <w:r>
        <w:rPr>
          <w:rFonts w:ascii="Times New Roman" w:hAnsi="Times New Roman"/>
          <w:b w:val="false"/>
          <w:color w:val="000000"/>
          <w:spacing w:val="3"/>
          <w:sz w:val="24"/>
        </w:rPr>
        <w:t>, установленных на Объекте;</w:t>
      </w:r>
    </w:p>
    <w:p>
      <w:pPr>
        <w:pStyle w:val="Style49"/>
        <w:widowControl w:val="false"/>
        <w:numPr>
          <w:ilvl w:val="2"/>
          <w:numId w:val="2"/>
        </w:numPr>
        <w:tabs>
          <w:tab w:val="clear" w:pos="708"/>
          <w:tab w:val="left" w:pos="0" w:leader="none"/>
          <w:tab w:val="left" w:pos="1276" w:leader="none"/>
        </w:tabs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  <w:color w:val="000000"/>
          <w:spacing w:val="3"/>
          <w:sz w:val="24"/>
        </w:rPr>
        <w:t>В случае поступления на АРМ Исполнителя «тревожного» сообщения, о срабатывании технических средств охранной сигнализации, реагирование на «тревожное» сообщение путем направления группы задержания Исполнителя на Объект для выяснения причин срабатывания технических средств охраны, а в случае незаконного проникновения на Объект, принятия мер к задержанию лиц, причастных к факту совершения противоправных действий в отношении Объекта</w:t>
      </w:r>
      <w:bookmarkStart w:id="0" w:name="_Ref336868061"/>
      <w:bookmarkStart w:id="1" w:name="_Ref336950226"/>
      <w:r>
        <w:rPr>
          <w:rFonts w:ascii="Times New Roman" w:hAnsi="Times New Roman"/>
          <w:b w:val="false"/>
          <w:color w:val="000000"/>
          <w:spacing w:val="3"/>
          <w:sz w:val="24"/>
        </w:rPr>
        <w:t>;</w:t>
      </w:r>
    </w:p>
    <w:p>
      <w:pPr>
        <w:pStyle w:val="Normal"/>
        <w:widowControl/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b w:val="false"/>
          <w:color w:val="000000"/>
          <w:spacing w:val="3"/>
          <w:sz w:val="24"/>
        </w:rPr>
        <w:t xml:space="preserve">1.2.3. В случае поступления на АРМ Исполнителя «тревожного» сообщения, о срабатывании технических средств тревожной сигнализации, реагирование на «тревожное» сообщение путем направления группы задержания Исполнителя на Объект </w:t>
      </w:r>
      <w:r>
        <w:rPr>
          <w:b w:val="false"/>
          <w:color w:val="000000"/>
          <w:sz w:val="24"/>
        </w:rPr>
        <w:t>для пресечения противоправных действий, угрожающих безопасности имущества, устранения угрозы безопасности граждан и общественной безопасности, на Объекте, и задержания лиц, их совершающих (совершивших).</w:t>
      </w:r>
      <w:bookmarkEnd w:id="0"/>
      <w:bookmarkEnd w:id="1"/>
    </w:p>
    <w:p>
      <w:pPr>
        <w:pStyle w:val="Normal"/>
        <w:widowControl/>
        <w:ind w:left="0" w:right="0" w:firstLine="567"/>
        <w:jc w:val="both"/>
        <w:rPr/>
      </w:pPr>
      <w:r>
        <w:rPr>
          <w:b w:val="false"/>
          <w:color w:val="000000"/>
          <w:sz w:val="24"/>
        </w:rPr>
        <w:t xml:space="preserve">1.3. Перечень объектов, </w:t>
      </w:r>
      <w:r>
        <w:rPr>
          <w:b w:val="false"/>
          <w:color w:val="000000"/>
          <w:spacing w:val="3"/>
          <w:sz w:val="24"/>
        </w:rPr>
        <w:t xml:space="preserve">подключенных на пульт централизованного наблюдения Исполнителя, время </w:t>
      </w:r>
      <w:r>
        <w:rPr>
          <w:b w:val="false"/>
          <w:color w:val="000000"/>
          <w:spacing w:val="0"/>
          <w:sz w:val="24"/>
        </w:rPr>
        <w:t>оказания услуги</w:t>
      </w:r>
      <w:r>
        <w:rPr>
          <w:b w:val="false"/>
          <w:color w:val="000000"/>
          <w:spacing w:val="3"/>
          <w:sz w:val="24"/>
        </w:rPr>
        <w:t xml:space="preserve"> и вид(ы) технических средств охраны, предусмотренный(ые) подпунктами 1.2.2. и 1.2.3. настоящего договора, устанавливаются по заявлению Заказчика для каждого Объекта дополнительными соглашениями к настоящему Договору. Исполнитель оставляет за собой право не принимать под охрану в соответствии с настоящим Договором объекты, время прибытия наряда, на которые является не эффективным для оказания услуг, указанных в п. 1.2.2. и 1.2.3. Договора и/или объект находится вне территории обслуживания «Исполнителя».</w:t>
      </w:r>
    </w:p>
    <w:p>
      <w:pPr>
        <w:pStyle w:val="Normal"/>
        <w:widowControl/>
        <w:ind w:left="0" w:right="0" w:firstLine="567"/>
        <w:jc w:val="both"/>
        <w:rPr>
          <w:b w:val="false"/>
          <w:b w:val="false"/>
          <w:sz w:val="24"/>
        </w:rPr>
      </w:pPr>
      <w:r>
        <w:rPr>
          <w:b w:val="false"/>
          <w:sz w:val="24"/>
        </w:rPr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pacing w:val="-8"/>
          <w:sz w:val="24"/>
        </w:rPr>
        <w:t>II. ОБЯЗАННОСТИ  ИСПОЛНИТЕЛЯ</w:t>
      </w:r>
    </w:p>
    <w:p>
      <w:pPr>
        <w:pStyle w:val="Style49"/>
        <w:jc w:val="center"/>
        <w:rPr>
          <w:rFonts w:ascii="Times New Roman" w:hAnsi="Times New Roman"/>
          <w:b/>
          <w:b/>
          <w:spacing w:val="-8"/>
          <w:sz w:val="16"/>
        </w:rPr>
      </w:pPr>
      <w:r>
        <w:rPr>
          <w:rFonts w:ascii="Times New Roman" w:hAnsi="Times New Roman"/>
          <w:b/>
          <w:spacing w:val="-8"/>
          <w:sz w:val="16"/>
        </w:rPr>
      </w:r>
    </w:p>
    <w:p>
      <w:pPr>
        <w:pStyle w:val="Style49"/>
        <w:widowControl w:val="false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  <w:sz w:val="24"/>
        </w:rPr>
        <w:t>Обеспечивает круглосуточную работу АРМ Исполнителя.</w:t>
      </w:r>
    </w:p>
    <w:p>
      <w:pPr>
        <w:pStyle w:val="Style49"/>
        <w:widowControl w:val="false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  <w:spacing w:val="2"/>
          <w:sz w:val="24"/>
        </w:rPr>
        <w:t xml:space="preserve">При поступлении от Заказчика «тревожного» </w:t>
      </w:r>
      <w:r>
        <w:rPr>
          <w:rFonts w:ascii="Times New Roman" w:hAnsi="Times New Roman"/>
          <w:b w:val="false"/>
          <w:spacing w:val="1"/>
          <w:sz w:val="24"/>
        </w:rPr>
        <w:t xml:space="preserve">сообщения о срабатывании на Объекте технических средств </w:t>
      </w:r>
      <w:r>
        <w:rPr>
          <w:rFonts w:ascii="Times New Roman" w:hAnsi="Times New Roman"/>
          <w:b w:val="false"/>
          <w:spacing w:val="3"/>
          <w:sz w:val="24"/>
        </w:rPr>
        <w:t>охранно-пожарной сигнализации (в охраняемое время)</w:t>
      </w:r>
      <w:r>
        <w:rPr>
          <w:rFonts w:ascii="Times New Roman" w:hAnsi="Times New Roman"/>
          <w:b w:val="false"/>
          <w:spacing w:val="1"/>
          <w:sz w:val="24"/>
        </w:rPr>
        <w:t xml:space="preserve">, </w:t>
      </w:r>
      <w:r>
        <w:rPr>
          <w:rFonts w:ascii="Times New Roman" w:hAnsi="Times New Roman"/>
          <w:b w:val="false"/>
          <w:spacing w:val="5"/>
          <w:sz w:val="24"/>
        </w:rPr>
        <w:t xml:space="preserve">обеспечивает направление к Объекту в максимально короткие сроки </w:t>
      </w:r>
      <w:r>
        <w:rPr>
          <w:rFonts w:ascii="Times New Roman" w:hAnsi="Times New Roman"/>
          <w:b w:val="false"/>
          <w:spacing w:val="2"/>
          <w:sz w:val="24"/>
        </w:rPr>
        <w:t xml:space="preserve">группы задержания для </w:t>
      </w:r>
      <w:r>
        <w:rPr>
          <w:rFonts w:ascii="Times New Roman" w:hAnsi="Times New Roman"/>
          <w:b w:val="false"/>
          <w:sz w:val="24"/>
        </w:rPr>
        <w:t xml:space="preserve">выяснения причин срабатывания охранно-пожарной сигнализации. В </w:t>
      </w:r>
      <w:r>
        <w:rPr>
          <w:rFonts w:ascii="Times New Roman" w:hAnsi="Times New Roman"/>
          <w:b w:val="false"/>
          <w:spacing w:val="3"/>
          <w:sz w:val="24"/>
        </w:rPr>
        <w:t>случае незаконного проникновения на Объект, принимает меры к задержанию лиц, причастных к факту совершения противоправных действи</w:t>
      </w:r>
      <w:r>
        <w:rPr>
          <w:rFonts w:ascii="Times New Roman" w:hAnsi="Times New Roman"/>
          <w:b w:val="false"/>
          <w:color w:val="000000"/>
          <w:spacing w:val="3"/>
          <w:sz w:val="24"/>
        </w:rPr>
        <w:t>й в отношении Объекта</w:t>
      </w:r>
      <w:r>
        <w:rPr>
          <w:rFonts w:ascii="Times New Roman" w:hAnsi="Times New Roman"/>
          <w:b w:val="false"/>
          <w:color w:val="000000"/>
          <w:sz w:val="24"/>
        </w:rPr>
        <w:t>.</w:t>
      </w:r>
    </w:p>
    <w:p>
      <w:pPr>
        <w:pStyle w:val="Style49"/>
        <w:widowControl w:val="false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  <w:color w:val="000000"/>
          <w:spacing w:val="2"/>
          <w:sz w:val="24"/>
        </w:rPr>
        <w:t xml:space="preserve">При поступлении от Заказчика «тревожного» </w:t>
      </w:r>
      <w:r>
        <w:rPr>
          <w:rFonts w:ascii="Times New Roman" w:hAnsi="Times New Roman"/>
          <w:b w:val="false"/>
          <w:color w:val="000000"/>
          <w:spacing w:val="1"/>
          <w:sz w:val="24"/>
        </w:rPr>
        <w:t xml:space="preserve">сообщения о срабатывании на Объекте технических средств </w:t>
      </w:r>
      <w:r>
        <w:rPr>
          <w:rFonts w:ascii="Times New Roman" w:hAnsi="Times New Roman"/>
          <w:b w:val="false"/>
          <w:color w:val="000000"/>
          <w:spacing w:val="3"/>
          <w:sz w:val="24"/>
        </w:rPr>
        <w:t>тревожной сигнализации (в охраняемое время)</w:t>
      </w:r>
      <w:r>
        <w:rPr>
          <w:rFonts w:ascii="Times New Roman" w:hAnsi="Times New Roman"/>
          <w:b w:val="false"/>
          <w:color w:val="000000"/>
          <w:spacing w:val="1"/>
          <w:sz w:val="24"/>
        </w:rPr>
        <w:t xml:space="preserve">, </w:t>
      </w:r>
      <w:r>
        <w:rPr>
          <w:rFonts w:ascii="Times New Roman" w:hAnsi="Times New Roman"/>
          <w:b w:val="false"/>
          <w:color w:val="000000"/>
          <w:spacing w:val="5"/>
          <w:sz w:val="24"/>
        </w:rPr>
        <w:t xml:space="preserve">обеспечивает направление к Объекту в максимально короткие сроки </w:t>
      </w:r>
      <w:r>
        <w:rPr>
          <w:rFonts w:ascii="Times New Roman" w:hAnsi="Times New Roman"/>
          <w:b w:val="false"/>
          <w:color w:val="000000"/>
          <w:spacing w:val="2"/>
          <w:sz w:val="24"/>
        </w:rPr>
        <w:t xml:space="preserve">группы задержания для </w:t>
      </w:r>
      <w:r>
        <w:rPr>
          <w:rFonts w:ascii="Times New Roman" w:hAnsi="Times New Roman"/>
          <w:b w:val="false"/>
          <w:color w:val="000000"/>
          <w:sz w:val="24"/>
        </w:rPr>
        <w:t>выяснения причин срабатывания тревожной сигнализации. В случае  противоправных действий, угрожающих безопасн</w:t>
      </w:r>
      <w:r>
        <w:rPr>
          <w:rFonts w:ascii="Times New Roman" w:hAnsi="Times New Roman"/>
          <w:b w:val="false"/>
          <w:sz w:val="24"/>
        </w:rPr>
        <w:t>ости имущества, угрозы безопасности граждан и общественной безопасности, на Объекте, принимает меры к их пресечению и задержанию лиц, их совершающих (совершивших).</w:t>
      </w:r>
    </w:p>
    <w:p>
      <w:pPr>
        <w:pStyle w:val="Style49"/>
        <w:widowControl w:val="false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ind w:left="0" w:right="0" w:firstLine="567"/>
        <w:jc w:val="both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  <w:sz w:val="24"/>
        </w:rPr>
        <w:t>Информирует Заказчика о результатах осмотра Объекта и возможных причинах срабатывания технических средств охраны на Объекте. Предоставляет по запросу Заказчика данные по результатам реагирования (выездов на Объекты)</w:t>
      </w:r>
    </w:p>
    <w:p>
      <w:pPr>
        <w:pStyle w:val="Style49"/>
        <w:jc w:val="center"/>
        <w:rPr>
          <w:rFonts w:ascii="Times New Roman" w:hAnsi="Times New Roman"/>
          <w:b/>
          <w:b/>
          <w:spacing w:val="-6"/>
          <w:sz w:val="24"/>
        </w:rPr>
      </w:pPr>
      <w:r>
        <w:rPr>
          <w:rFonts w:ascii="Times New Roman" w:hAnsi="Times New Roman"/>
          <w:b/>
          <w:spacing w:val="-6"/>
          <w:sz w:val="24"/>
        </w:rPr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pacing w:val="-6"/>
          <w:sz w:val="24"/>
        </w:rPr>
        <w:t>I</w:t>
      </w:r>
      <w:r>
        <w:rPr>
          <w:rFonts w:ascii="Times New Roman" w:hAnsi="Times New Roman"/>
          <w:b/>
          <w:spacing w:val="-8"/>
          <w:sz w:val="24"/>
        </w:rPr>
        <w:t>II</w:t>
      </w:r>
      <w:r>
        <w:rPr>
          <w:rFonts w:ascii="Times New Roman" w:hAnsi="Times New Roman"/>
          <w:b/>
          <w:spacing w:val="-6"/>
          <w:sz w:val="24"/>
        </w:rPr>
        <w:t>. ОБЯЗАННОСТИ  ЗАКАЗЧИКА</w:t>
      </w:r>
    </w:p>
    <w:p>
      <w:pPr>
        <w:pStyle w:val="Style49"/>
        <w:jc w:val="center"/>
        <w:rPr>
          <w:rFonts w:ascii="Times New Roman" w:hAnsi="Times New Roman"/>
          <w:b/>
          <w:b/>
          <w:spacing w:val="-6"/>
          <w:sz w:val="24"/>
        </w:rPr>
      </w:pPr>
      <w:r>
        <w:rPr>
          <w:rFonts w:ascii="Times New Roman" w:hAnsi="Times New Roman"/>
          <w:b/>
          <w:spacing w:val="-6"/>
          <w:sz w:val="24"/>
        </w:rPr>
      </w:r>
    </w:p>
    <w:p>
      <w:pPr>
        <w:pStyle w:val="Style49"/>
        <w:widowControl w:val="false"/>
        <w:numPr>
          <w:ilvl w:val="0"/>
          <w:numId w:val="4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беспечивает круглосуточную работу АРМ Заказчика.</w:t>
      </w:r>
    </w:p>
    <w:p>
      <w:pPr>
        <w:pStyle w:val="Style49"/>
        <w:widowControl w:val="false"/>
        <w:numPr>
          <w:ilvl w:val="0"/>
          <w:numId w:val="4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</w:rPr>
        <w:t>В случае поступления «тревожного» сообщения с Объекта, сформированного охранно-пожарной и (или) тревожной сигнализацией, незамедлительно передает информацию на АРМ Исполнителя  посредством АРМ ПАК ВсМК или телефонной связи.</w:t>
      </w:r>
    </w:p>
    <w:p>
      <w:pPr>
        <w:pStyle w:val="Style49"/>
        <w:widowControl w:val="false"/>
        <w:numPr>
          <w:ilvl w:val="0"/>
          <w:numId w:val="4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</w:rPr>
        <w:t>Осуществляет составление и согласование с Исполнителем (не менее чем за 10 дней до даты начала оказания услуг)  электронных карточек на Объекты (с указанием доверенных лиц, схемы Объекта, путями подъезда,  оснащению ТСО и т.д.).</w:t>
      </w:r>
    </w:p>
    <w:p>
      <w:pPr>
        <w:pStyle w:val="Style49"/>
        <w:widowControl w:val="false"/>
        <w:numPr>
          <w:ilvl w:val="0"/>
          <w:numId w:val="4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Осуществляет поддержание актуальной информации, содержащейся в электронных карточках на Объекты. В случае внесения изменений в электронную карточку на Объект, повторно согласовывает ее с Исполнителем. </w:t>
      </w:r>
    </w:p>
    <w:p>
      <w:pPr>
        <w:pStyle w:val="Style49"/>
        <w:widowControl w:val="false"/>
        <w:numPr>
          <w:ilvl w:val="0"/>
          <w:numId w:val="4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Своевременно вносит плату за Услуги, оказываемые Исполнителем.</w:t>
      </w:r>
    </w:p>
    <w:p>
      <w:pPr>
        <w:pStyle w:val="Style49"/>
        <w:widowControl w:val="false"/>
        <w:numPr>
          <w:ilvl w:val="0"/>
          <w:numId w:val="4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Не разглашает посторонним лицам порядок оказания Услуг.</w:t>
      </w:r>
    </w:p>
    <w:p>
      <w:pPr>
        <w:pStyle w:val="Style49"/>
        <w:widowControl w:val="false"/>
        <w:numPr>
          <w:ilvl w:val="0"/>
          <w:numId w:val="4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Обеспечить представителям Исполнителя доступ на Объекты в целях выполнения своих обязательств по настоящему Договору.</w:t>
      </w:r>
    </w:p>
    <w:p>
      <w:pPr>
        <w:pStyle w:val="Style49"/>
        <w:widowControl w:val="false"/>
        <w:numPr>
          <w:ilvl w:val="0"/>
          <w:numId w:val="0"/>
        </w:numPr>
        <w:tabs>
          <w:tab w:val="clear" w:pos="708"/>
          <w:tab w:val="left" w:pos="993" w:leader="none"/>
        </w:tabs>
        <w:ind w:left="72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yle49"/>
        <w:jc w:val="center"/>
        <w:rPr>
          <w:rFonts w:ascii="Times New Roman" w:hAnsi="Times New Roman"/>
          <w:b/>
          <w:b/>
          <w:spacing w:val="-8"/>
          <w:sz w:val="24"/>
        </w:rPr>
      </w:pPr>
      <w:r>
        <w:rPr>
          <w:rFonts w:ascii="Times New Roman" w:hAnsi="Times New Roman"/>
          <w:b/>
          <w:spacing w:val="-8"/>
          <w:sz w:val="24"/>
        </w:rPr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pacing w:val="-8"/>
          <w:sz w:val="24"/>
        </w:rPr>
        <w:t>I</w:t>
      </w:r>
      <w:r>
        <w:rPr>
          <w:rFonts w:ascii="Times New Roman" w:hAnsi="Times New Roman"/>
          <w:b/>
          <w:spacing w:val="-6"/>
          <w:sz w:val="24"/>
        </w:rPr>
        <w:t>V. ПРАВА ИСПОЛНИТЕЛЯ</w:t>
      </w:r>
    </w:p>
    <w:p>
      <w:pPr>
        <w:pStyle w:val="Style49"/>
        <w:jc w:val="center"/>
        <w:rPr>
          <w:rFonts w:ascii="Times New Roman" w:hAnsi="Times New Roman"/>
          <w:b/>
          <w:b/>
          <w:spacing w:val="-6"/>
          <w:sz w:val="24"/>
        </w:rPr>
      </w:pPr>
      <w:r>
        <w:rPr>
          <w:rFonts w:ascii="Times New Roman" w:hAnsi="Times New Roman"/>
          <w:b/>
          <w:spacing w:val="-6"/>
          <w:sz w:val="24"/>
        </w:rPr>
      </w:r>
    </w:p>
    <w:p>
      <w:pPr>
        <w:pStyle w:val="Style49"/>
        <w:widowControl w:val="false"/>
        <w:numPr>
          <w:ilvl w:val="0"/>
          <w:numId w:val="5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3"/>
          <w:sz w:val="24"/>
        </w:rPr>
        <w:t xml:space="preserve">Расторгнуть договор до истечения срока действия, письменно уведомив об этом </w:t>
      </w:r>
      <w:r>
        <w:rPr>
          <w:rFonts w:ascii="Times New Roman" w:hAnsi="Times New Roman"/>
          <w:spacing w:val="12"/>
          <w:sz w:val="24"/>
        </w:rPr>
        <w:t xml:space="preserve">Заказчика не менее чем за 15 дней до даты расторжения договора. </w:t>
      </w:r>
    </w:p>
    <w:p>
      <w:pPr>
        <w:pStyle w:val="Style49"/>
        <w:widowControl w:val="false"/>
        <w:numPr>
          <w:ilvl w:val="0"/>
          <w:numId w:val="5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12"/>
          <w:sz w:val="24"/>
        </w:rPr>
        <w:t>П</w:t>
      </w:r>
      <w:r>
        <w:rPr>
          <w:rFonts w:ascii="Times New Roman" w:hAnsi="Times New Roman"/>
          <w:sz w:val="24"/>
        </w:rPr>
        <w:t>риостановить действие договора (временно не реагировать группами задержания) в случае поступления от АРМ Заказчика на АРМ Исполнителя «тревожных» сообщений):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14"/>
          <w:sz w:val="24"/>
        </w:rPr>
        <w:t>4.2.1.</w:t>
      </w:r>
      <w:r>
        <w:rPr>
          <w:rFonts w:ascii="Times New Roman" w:hAnsi="Times New Roman"/>
          <w:spacing w:val="4"/>
          <w:sz w:val="24"/>
        </w:rPr>
        <w:t xml:space="preserve"> При возникновении технических причин, препятствующих работе ПАК ВсМК Исполнителя;</w:t>
      </w:r>
    </w:p>
    <w:p>
      <w:pPr>
        <w:pStyle w:val="Style49"/>
        <w:tabs>
          <w:tab w:val="clear" w:pos="708"/>
          <w:tab w:val="left" w:pos="993" w:leader="none"/>
        </w:tabs>
        <w:ind w:left="567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14"/>
          <w:sz w:val="24"/>
        </w:rPr>
        <w:t>4.2.2. Е</w:t>
      </w:r>
      <w:r>
        <w:rPr>
          <w:rFonts w:ascii="Times New Roman" w:hAnsi="Times New Roman"/>
          <w:sz w:val="24"/>
        </w:rPr>
        <w:t>сли Заказчик не выполнил или нарушил пункты 3.1.- 3.5. договора;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4.2.3.Если Заказчик отказывается оплачивать Услуги, оказываемые Исполнителем по новым тарифам, </w:t>
      </w:r>
      <w:r>
        <w:rPr>
          <w:rFonts w:ascii="Times New Roman" w:hAnsi="Times New Roman"/>
          <w:spacing w:val="-1"/>
          <w:sz w:val="24"/>
        </w:rPr>
        <w:t>после их введения;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-1"/>
          <w:sz w:val="24"/>
        </w:rPr>
        <w:t xml:space="preserve">4.2.4. При выявлении недостоверности предоставленных Заказчиком сведений об Объекте, указанных в </w:t>
      </w:r>
      <w:r>
        <w:rPr>
          <w:rFonts w:ascii="Times New Roman" w:hAnsi="Times New Roman"/>
          <w:color w:val="000000"/>
          <w:spacing w:val="-1"/>
          <w:sz w:val="24"/>
        </w:rPr>
        <w:t>Дополнительных соглашениях.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pacing w:val="5"/>
          <w:sz w:val="24"/>
        </w:rPr>
        <w:t>V.</w:t>
      </w:r>
      <w:r>
        <w:rPr>
          <w:rFonts w:ascii="Times New Roman" w:hAnsi="Times New Roman"/>
          <w:b/>
          <w:spacing w:val="-5"/>
          <w:sz w:val="24"/>
        </w:rPr>
        <w:t xml:space="preserve"> ПРАВА ЗАКАЗЧИКА</w:t>
      </w:r>
    </w:p>
    <w:p>
      <w:pPr>
        <w:pStyle w:val="Style49"/>
        <w:jc w:val="center"/>
        <w:rPr>
          <w:rFonts w:ascii="Times New Roman" w:hAnsi="Times New Roman"/>
          <w:b/>
          <w:b/>
          <w:spacing w:val="-6"/>
          <w:sz w:val="24"/>
        </w:rPr>
      </w:pPr>
      <w:r>
        <w:rPr>
          <w:rFonts w:ascii="Times New Roman" w:hAnsi="Times New Roman"/>
          <w:b/>
          <w:spacing w:val="-6"/>
          <w:sz w:val="24"/>
        </w:rPr>
      </w:r>
    </w:p>
    <w:p>
      <w:pPr>
        <w:pStyle w:val="Style49"/>
        <w:tabs>
          <w:tab w:val="clear" w:pos="708"/>
          <w:tab w:val="left" w:pos="993" w:leader="none"/>
        </w:tabs>
        <w:ind w:left="567" w:right="0" w:hanging="0"/>
        <w:jc w:val="both"/>
        <w:rPr/>
      </w:pPr>
      <w:r>
        <w:rPr>
          <w:rFonts w:ascii="Times New Roman" w:hAnsi="Times New Roman"/>
          <w:spacing w:val="-6"/>
          <w:sz w:val="24"/>
        </w:rPr>
        <w:t xml:space="preserve">5.1. </w:t>
      </w:r>
      <w:r>
        <w:rPr>
          <w:rFonts w:ascii="Times New Roman" w:hAnsi="Times New Roman"/>
          <w:sz w:val="24"/>
        </w:rPr>
        <w:t xml:space="preserve">Направлять </w:t>
      </w:r>
      <w:r>
        <w:rPr>
          <w:rFonts w:ascii="Times New Roman" w:hAnsi="Times New Roman"/>
          <w:spacing w:val="3"/>
          <w:sz w:val="24"/>
        </w:rPr>
        <w:t>информацию о «тревожном» сообщении на АРМ Исполнителя</w:t>
      </w:r>
      <w:r>
        <w:rPr>
          <w:rFonts w:ascii="Times New Roman" w:hAnsi="Times New Roman"/>
          <w:spacing w:val="-3"/>
          <w:sz w:val="24"/>
        </w:rPr>
        <w:t>.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-10"/>
          <w:sz w:val="24"/>
        </w:rPr>
        <w:t xml:space="preserve">5.2. </w:t>
      </w:r>
      <w:r>
        <w:rPr>
          <w:rFonts w:ascii="Times New Roman" w:hAnsi="Times New Roman"/>
          <w:spacing w:val="3"/>
          <w:sz w:val="24"/>
        </w:rPr>
        <w:t xml:space="preserve">Расторгнуть договор до истечения срока действия, письменно уведомив об этом </w:t>
      </w:r>
      <w:r>
        <w:rPr>
          <w:rFonts w:ascii="Times New Roman" w:hAnsi="Times New Roman"/>
          <w:sz w:val="24"/>
        </w:rPr>
        <w:t>Исполнителя не менее чем за 15 дней.</w:t>
      </w:r>
    </w:p>
    <w:p>
      <w:pPr>
        <w:pStyle w:val="Style49"/>
        <w:jc w:val="center"/>
        <w:rPr>
          <w:rFonts w:ascii="Times New Roman" w:hAnsi="Times New Roman"/>
          <w:b/>
          <w:b/>
          <w:spacing w:val="-6"/>
          <w:sz w:val="24"/>
        </w:rPr>
      </w:pPr>
      <w:r>
        <w:rPr>
          <w:rFonts w:ascii="Times New Roman" w:hAnsi="Times New Roman"/>
          <w:b/>
          <w:spacing w:val="-6"/>
          <w:sz w:val="24"/>
        </w:rPr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pacing w:val="-6"/>
          <w:sz w:val="24"/>
        </w:rPr>
        <w:t>VI. ОТВЕТСТВЕННОСТЬ СТОРОН</w:t>
      </w:r>
    </w:p>
    <w:p>
      <w:pPr>
        <w:pStyle w:val="Style49"/>
        <w:jc w:val="center"/>
        <w:rPr>
          <w:rFonts w:ascii="Times New Roman" w:hAnsi="Times New Roman"/>
          <w:b/>
          <w:b/>
          <w:spacing w:val="-6"/>
          <w:sz w:val="24"/>
        </w:rPr>
      </w:pPr>
      <w:r>
        <w:rPr>
          <w:rFonts w:ascii="Times New Roman" w:hAnsi="Times New Roman"/>
          <w:b/>
          <w:spacing w:val="-6"/>
          <w:sz w:val="24"/>
        </w:rPr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5"/>
          <w:sz w:val="24"/>
        </w:rPr>
        <w:t>6.1. Исполнитель несет ответственность</w:t>
      </w:r>
      <w:r>
        <w:rPr>
          <w:rFonts w:ascii="Times New Roman" w:hAnsi="Times New Roman"/>
          <w:spacing w:val="7"/>
          <w:sz w:val="24"/>
        </w:rPr>
        <w:t>, если на АРМ Исполнителя поступило «тревожное» сообщение от Заказчика, но группа задержания Исполнителя не направлена к Объекту.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-14"/>
          <w:sz w:val="24"/>
        </w:rPr>
        <w:t xml:space="preserve">6.2. </w:t>
      </w:r>
      <w:r>
        <w:rPr>
          <w:rFonts w:ascii="Times New Roman" w:hAnsi="Times New Roman"/>
          <w:spacing w:val="6"/>
          <w:sz w:val="24"/>
        </w:rPr>
        <w:t>За действия Заказчика по передаче «тревожного» сообщения</w:t>
      </w:r>
      <w:r>
        <w:rPr>
          <w:rFonts w:ascii="Times New Roman" w:hAnsi="Times New Roman"/>
          <w:spacing w:val="2"/>
          <w:sz w:val="24"/>
        </w:rPr>
        <w:t xml:space="preserve">, повлекшие за собой </w:t>
      </w:r>
      <w:r>
        <w:rPr>
          <w:rFonts w:ascii="Times New Roman" w:hAnsi="Times New Roman"/>
          <w:sz w:val="24"/>
        </w:rPr>
        <w:t>ложный выезд группы задержания Исполнителя на Объект, Заказчик выплачивает Исполнителю компенсацию, указанную в п. 8.3. договора.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-14"/>
          <w:sz w:val="24"/>
        </w:rPr>
        <w:t xml:space="preserve">6.3. </w:t>
      </w:r>
      <w:r>
        <w:rPr>
          <w:rFonts w:ascii="Times New Roman" w:hAnsi="Times New Roman"/>
          <w:spacing w:val="3"/>
          <w:sz w:val="24"/>
        </w:rPr>
        <w:t xml:space="preserve">«Стороны» несут ответственность за неисполнение или ненадлежащее исполнение </w:t>
      </w:r>
      <w:r>
        <w:rPr>
          <w:rFonts w:ascii="Times New Roman" w:hAnsi="Times New Roman"/>
          <w:spacing w:val="2"/>
          <w:sz w:val="24"/>
        </w:rPr>
        <w:t xml:space="preserve">своих обязанностей по настоящему договору в соответствии с условиями настоящего договора и законодательством </w:t>
      </w:r>
      <w:r>
        <w:rPr>
          <w:rFonts w:ascii="Times New Roman" w:hAnsi="Times New Roman"/>
          <w:spacing w:val="-1"/>
          <w:sz w:val="24"/>
        </w:rPr>
        <w:t>Российской Федерации.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  <w:b/>
          <w:b/>
          <w:spacing w:val="-5"/>
          <w:sz w:val="24"/>
        </w:rPr>
      </w:pPr>
      <w:r>
        <w:rPr>
          <w:rFonts w:ascii="Times New Roman" w:hAnsi="Times New Roman"/>
          <w:b/>
          <w:spacing w:val="-5"/>
          <w:sz w:val="24"/>
        </w:rPr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rFonts w:ascii="Times New Roman" w:hAnsi="Times New Roman"/>
          <w:b/>
          <w:spacing w:val="-5"/>
          <w:sz w:val="24"/>
        </w:rPr>
        <w:t>VII.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b/>
          <w:spacing w:val="5"/>
          <w:sz w:val="24"/>
        </w:rPr>
        <w:t>ОБСТОЯТЕЛЬСТВА, ИСКЛЮЧАЮЩИЕ ОТВЕТСТВЕННОСТЬ</w:t>
      </w:r>
    </w:p>
    <w:p>
      <w:pPr>
        <w:pStyle w:val="Style49"/>
        <w:jc w:val="center"/>
        <w:rPr>
          <w:rFonts w:ascii="Times New Roman" w:hAnsi="Times New Roman"/>
          <w:b/>
          <w:b/>
          <w:spacing w:val="-14"/>
          <w:sz w:val="24"/>
        </w:rPr>
      </w:pPr>
      <w:r>
        <w:rPr>
          <w:rFonts w:ascii="Times New Roman" w:hAnsi="Times New Roman"/>
          <w:b/>
          <w:spacing w:val="-14"/>
          <w:sz w:val="24"/>
        </w:rPr>
      </w:r>
    </w:p>
    <w:p>
      <w:pPr>
        <w:pStyle w:val="Style49"/>
        <w:tabs>
          <w:tab w:val="clear" w:pos="708"/>
          <w:tab w:val="left" w:pos="1134" w:leader="none"/>
        </w:tabs>
        <w:ind w:left="567" w:right="0" w:hanging="0"/>
        <w:jc w:val="both"/>
        <w:rPr/>
      </w:pPr>
      <w:r>
        <w:rPr>
          <w:rFonts w:ascii="Times New Roman" w:hAnsi="Times New Roman"/>
          <w:sz w:val="24"/>
        </w:rPr>
        <w:t>7.1. Исполнитель освобождается от ответственности в следующих случаях:</w:t>
      </w:r>
    </w:p>
    <w:p>
      <w:pPr>
        <w:pStyle w:val="Style49"/>
        <w:tabs>
          <w:tab w:val="clear" w:pos="708"/>
          <w:tab w:val="left" w:pos="1134" w:leader="none"/>
        </w:tabs>
        <w:ind w:left="567" w:right="0" w:hanging="0"/>
        <w:jc w:val="both"/>
        <w:rPr/>
      </w:pPr>
      <w:r>
        <w:rPr>
          <w:rFonts w:ascii="Times New Roman" w:hAnsi="Times New Roman"/>
          <w:spacing w:val="3"/>
          <w:sz w:val="24"/>
        </w:rPr>
        <w:t>7.1.1. Невыполнение Заказчиком обязательств по настоящему Договору</w:t>
      </w:r>
      <w:r>
        <w:rPr>
          <w:rFonts w:ascii="Times New Roman" w:hAnsi="Times New Roman"/>
          <w:spacing w:val="-2"/>
          <w:sz w:val="24"/>
        </w:rPr>
        <w:t>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8"/>
          <w:sz w:val="24"/>
        </w:rPr>
        <w:t xml:space="preserve">7.1.2. Ущерб причинен Исполнителем при пресечении противоправных действий в </w:t>
      </w:r>
      <w:r>
        <w:rPr>
          <w:rFonts w:ascii="Times New Roman" w:hAnsi="Times New Roman"/>
          <w:sz w:val="24"/>
        </w:rPr>
        <w:t>отношении Объекта.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7.1.3. Ущерб причинен Объекту от грабежа или разбойного нападения.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6"/>
          <w:sz w:val="24"/>
        </w:rPr>
        <w:t xml:space="preserve">7.1.4. В случае непрохождения (несвоевременного прохождения) «тревожного» сообщения </w:t>
      </w:r>
      <w:r>
        <w:rPr>
          <w:rFonts w:ascii="Times New Roman" w:hAnsi="Times New Roman"/>
          <w:sz w:val="24"/>
        </w:rPr>
        <w:t>на АРМ Исполнителя от АРМ Заказчика.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7.1.5. Ущерб причинен Объекту по вине собственника Объекта.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7.1.6. Возникновения обстоятельств непреодолимой силы («Форс-мажор»), </w:t>
      </w:r>
      <w:r>
        <w:rPr>
          <w:rFonts w:ascii="Times New Roman" w:hAnsi="Times New Roman"/>
          <w:spacing w:val="4"/>
          <w:sz w:val="24"/>
        </w:rPr>
        <w:t xml:space="preserve">непосредственно повлиявших на выполнение обязательств, в том числе, если ущерб </w:t>
      </w:r>
      <w:r>
        <w:rPr>
          <w:rFonts w:ascii="Times New Roman" w:hAnsi="Times New Roman"/>
          <w:sz w:val="24"/>
        </w:rPr>
        <w:t>причинен пожаром, стихийным бедствием, авариями коммунальных сетей и т.п.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8"/>
          <w:sz w:val="24"/>
        </w:rPr>
        <w:t>7.1.7. Прием «тревожного» сообщения от АРМ Заказчика не мог осуществляться по причинам, не</w:t>
      </w:r>
      <w:r>
        <w:rPr>
          <w:rFonts w:ascii="Times New Roman" w:hAnsi="Times New Roman"/>
          <w:spacing w:val="4"/>
          <w:sz w:val="24"/>
        </w:rPr>
        <w:t xml:space="preserve">зависящим от Исполнителя и (или) Заказчика (отключение электроэнергии, сети интернет, </w:t>
      </w:r>
      <w:r>
        <w:rPr>
          <w:rFonts w:ascii="Times New Roman" w:hAnsi="Times New Roman"/>
          <w:spacing w:val="-1"/>
          <w:sz w:val="24"/>
        </w:rPr>
        <w:t>телефонных линий и т.п.).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5"/>
          <w:sz w:val="24"/>
        </w:rPr>
        <w:t xml:space="preserve">7.1.8. Приостановление действия договора или приостановление оказания Услуг. 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2"/>
          <w:sz w:val="24"/>
        </w:rPr>
        <w:t>7.1.9. Отказ собственника (</w:t>
      </w:r>
      <w:r>
        <w:rPr>
          <w:rFonts w:ascii="Times New Roman" w:hAnsi="Times New Roman"/>
          <w:color w:val="000000"/>
          <w:spacing w:val="2"/>
          <w:sz w:val="24"/>
        </w:rPr>
        <w:t>ответственного</w:t>
      </w:r>
      <w:r>
        <w:rPr>
          <w:rFonts w:ascii="Times New Roman" w:hAnsi="Times New Roman"/>
          <w:spacing w:val="2"/>
          <w:sz w:val="24"/>
        </w:rPr>
        <w:t xml:space="preserve"> лица) </w:t>
      </w:r>
      <w:r>
        <w:rPr>
          <w:rFonts w:ascii="Times New Roman" w:hAnsi="Times New Roman"/>
          <w:spacing w:val="5"/>
          <w:sz w:val="24"/>
        </w:rPr>
        <w:t>от прибытия к Объекту для его осмотр</w:t>
      </w:r>
      <w:r>
        <w:rPr>
          <w:rFonts w:ascii="Times New Roman" w:hAnsi="Times New Roman"/>
          <w:color w:val="000000"/>
          <w:spacing w:val="5"/>
          <w:sz w:val="24"/>
        </w:rPr>
        <w:t>а после срабатывания охранной сигнализации и (или) тревожной сигнализации на Объекте</w:t>
      </w:r>
      <w:r>
        <w:rPr>
          <w:rFonts w:ascii="Times New Roman" w:hAnsi="Times New Roman"/>
          <w:color w:val="000000"/>
          <w:sz w:val="24"/>
        </w:rPr>
        <w:t>, а также в случае несвоевременного прибытия (более 1-го часа после срабатывания технических средств охраны).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7.1.10. В иных случаях, если Исполнитель докажет отсутствие своей вины. </w:t>
      </w:r>
    </w:p>
    <w:p>
      <w:pPr>
        <w:pStyle w:val="Style49"/>
        <w:jc w:val="center"/>
        <w:rPr>
          <w:rFonts w:ascii="Times New Roman" w:hAnsi="Times New Roman"/>
          <w:b/>
          <w:b/>
          <w:color w:val="000000"/>
          <w:spacing w:val="-5"/>
          <w:sz w:val="24"/>
        </w:rPr>
      </w:pPr>
      <w:r>
        <w:rPr>
          <w:rFonts w:ascii="Times New Roman" w:hAnsi="Times New Roman"/>
          <w:b/>
          <w:color w:val="000000"/>
          <w:spacing w:val="-5"/>
          <w:sz w:val="24"/>
        </w:rPr>
      </w:r>
    </w:p>
    <w:p>
      <w:pPr>
        <w:pStyle w:val="Style49"/>
        <w:jc w:val="center"/>
        <w:rPr>
          <w:color w:val="000000"/>
        </w:rPr>
      </w:pPr>
      <w:r>
        <w:rPr>
          <w:rFonts w:ascii="Times New Roman" w:hAnsi="Times New Roman"/>
          <w:b/>
          <w:color w:val="000000"/>
          <w:spacing w:val="-5"/>
          <w:sz w:val="24"/>
        </w:rPr>
        <w:t xml:space="preserve">VIII. </w:t>
      </w:r>
      <w:r>
        <w:rPr>
          <w:rFonts w:ascii="Times New Roman" w:hAnsi="Times New Roman"/>
          <w:b/>
          <w:color w:val="000000"/>
          <w:spacing w:val="-6"/>
          <w:sz w:val="24"/>
        </w:rPr>
        <w:t>ПОРЯДОК РАСЧЕТОВ И РАЗРЕШЕНИЯ СПОРОВ</w:t>
      </w:r>
    </w:p>
    <w:p>
      <w:pPr>
        <w:pStyle w:val="Style49"/>
        <w:jc w:val="center"/>
        <w:rPr>
          <w:rFonts w:ascii="Times New Roman" w:hAnsi="Times New Roman"/>
          <w:b/>
          <w:b/>
          <w:color w:val="000000"/>
          <w:spacing w:val="-6"/>
          <w:sz w:val="24"/>
        </w:rPr>
      </w:pPr>
      <w:r>
        <w:rPr>
          <w:rFonts w:ascii="Times New Roman" w:hAnsi="Times New Roman"/>
          <w:b/>
          <w:color w:val="000000"/>
          <w:spacing w:val="-6"/>
          <w:sz w:val="24"/>
        </w:rPr>
      </w:r>
    </w:p>
    <w:p>
      <w:pPr>
        <w:pStyle w:val="Style49"/>
        <w:widowControl w:val="false"/>
        <w:numPr>
          <w:ilvl w:val="0"/>
          <w:numId w:val="6"/>
        </w:numPr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rFonts w:ascii="Times New Roman" w:hAnsi="Times New Roman"/>
          <w:color w:val="000000"/>
          <w:spacing w:val="3"/>
          <w:sz w:val="24"/>
        </w:rPr>
        <w:t xml:space="preserve">Расчеты Заказчика за Услуги, оказываемые Исполнителем, производятся в соответствии с </w:t>
      </w:r>
      <w:r>
        <w:rPr>
          <w:rFonts w:ascii="Times New Roman" w:hAnsi="Times New Roman"/>
          <w:b w:val="false"/>
          <w:color w:val="000000"/>
          <w:spacing w:val="3"/>
          <w:sz w:val="24"/>
        </w:rPr>
        <w:t>дополнительными соглашениями к настоящему Договору в соответствии с тарифами на услуги подразделений вневедомственной охраны Калининградской области.</w:t>
      </w:r>
    </w:p>
    <w:p>
      <w:pPr>
        <w:pStyle w:val="Style49"/>
        <w:widowControl w:val="false"/>
        <w:numPr>
          <w:ilvl w:val="0"/>
          <w:numId w:val="6"/>
        </w:numPr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pacing w:val="6"/>
          <w:sz w:val="24"/>
        </w:rPr>
        <w:t xml:space="preserve">Оплата за Услуги, оказываемые Исполнителем, производится Заказчиком ежемесячно, в соответствии с </w:t>
      </w:r>
      <w:r>
        <w:rPr>
          <w:rFonts w:ascii="Times New Roman" w:hAnsi="Times New Roman"/>
          <w:color w:val="000000"/>
          <w:spacing w:val="2"/>
          <w:sz w:val="24"/>
        </w:rPr>
        <w:t>действующими тарифами не позднее 15 числа текущего месяца</w:t>
      </w:r>
      <w:r>
        <w:rPr>
          <w:rFonts w:ascii="Times New Roman" w:hAnsi="Times New Roman"/>
          <w:color w:val="000000"/>
          <w:sz w:val="24"/>
        </w:rPr>
        <w:t xml:space="preserve"> на основании выставленного Исполнителем счета</w:t>
      </w:r>
      <w:r>
        <w:rPr>
          <w:rFonts w:ascii="Times New Roman" w:hAnsi="Times New Roman"/>
          <w:color w:val="000000"/>
          <w:spacing w:val="2"/>
          <w:sz w:val="24"/>
        </w:rPr>
        <w:t>.</w:t>
      </w:r>
    </w:p>
    <w:p>
      <w:pPr>
        <w:pStyle w:val="Style49"/>
        <w:widowControl w:val="false"/>
        <w:numPr>
          <w:ilvl w:val="0"/>
          <w:numId w:val="6"/>
        </w:numPr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rFonts w:ascii="Times New Roman" w:hAnsi="Times New Roman"/>
          <w:color w:val="000000"/>
          <w:spacing w:val="2"/>
          <w:sz w:val="24"/>
        </w:rPr>
        <w:t>Компенсация Заказчиком расходов Исполнителя, связанных с выездами по ложным тревожным извещениям (</w:t>
      </w:r>
      <w:r>
        <w:rPr>
          <w:rFonts w:ascii="Times New Roman" w:hAnsi="Times New Roman"/>
          <w:color w:val="000000"/>
          <w:sz w:val="24"/>
        </w:rPr>
        <w:t>ложному сигналу «Тревога»)</w:t>
      </w:r>
      <w:r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</w:rPr>
        <w:t xml:space="preserve">производится на основании счета Исполнителя в течении 10-ти банковских дней с момента его получения Заказчиком и </w:t>
      </w:r>
      <w:r>
        <w:rPr>
          <w:rFonts w:ascii="Times New Roman" w:hAnsi="Times New Roman"/>
          <w:color w:val="000000"/>
          <w:spacing w:val="-9"/>
          <w:sz w:val="24"/>
        </w:rPr>
        <w:t>составляет 613,30 рублей (шестьсот тринадцать рублей 30 копеек) за один выезд.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567"/>
        <w:jc w:val="both"/>
        <w:rPr/>
      </w:pPr>
      <w:r>
        <w:rPr>
          <w:sz w:val="24"/>
        </w:rPr>
        <w:t xml:space="preserve">8.3.1. Выезд по ложному тревожному извещению  (ложному сигналу «Тревога») - это выезд по поступившему на АРМ Исполнителя по вине </w:t>
      </w:r>
      <w:r>
        <w:rPr>
          <w:color w:val="000000"/>
          <w:spacing w:val="0"/>
          <w:sz w:val="24"/>
        </w:rPr>
        <w:t>собственника Объекта</w:t>
      </w:r>
      <w:r>
        <w:rPr>
          <w:sz w:val="24"/>
        </w:rPr>
        <w:t xml:space="preserve"> сигналу и несвязанный с несанкционированным проникновением на Объект посторонних лиц, незаконными действиями, угрожающими безопасности имущества, угрозой безопасности граждан, на Объекте, указанном в </w:t>
      </w:r>
      <w:r>
        <w:rPr>
          <w:color w:val="000000"/>
          <w:spacing w:val="0"/>
          <w:sz w:val="24"/>
        </w:rPr>
        <w:t>дополнительном соглашении</w:t>
      </w:r>
      <w:r>
        <w:rPr>
          <w:sz w:val="24"/>
        </w:rPr>
        <w:t>. О поступлении ложного сигнала Исполнителем составляется односторонний акт.</w:t>
      </w:r>
      <w:r>
        <w:rPr>
          <w:spacing w:val="-9"/>
          <w:sz w:val="24"/>
        </w:rPr>
        <w:t xml:space="preserve"> 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pacing w:val="3"/>
          <w:sz w:val="24"/>
        </w:rPr>
        <w:t>8.4. В случае изменения тарифов на оказываемые Услуги, Заказчик извещается письменно или по электронной почте с подтверждением получения электронного сообщения</w:t>
      </w:r>
      <w:r>
        <w:rPr>
          <w:rFonts w:ascii="Times New Roman" w:hAnsi="Times New Roman"/>
          <w:sz w:val="24"/>
        </w:rPr>
        <w:t>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8.5. Если Заказчик в течение 15 дней с момента уведомления об изменении тарифов на оказываемые </w:t>
      </w:r>
      <w:r>
        <w:rPr>
          <w:rFonts w:ascii="Times New Roman" w:hAnsi="Times New Roman"/>
          <w:spacing w:val="2"/>
          <w:sz w:val="24"/>
        </w:rPr>
        <w:t xml:space="preserve">Услуги продолжает ими пользоваться, то изменения тарифа считаются </w:t>
      </w:r>
      <w:r>
        <w:rPr>
          <w:rFonts w:ascii="Times New Roman" w:hAnsi="Times New Roman"/>
          <w:spacing w:val="-1"/>
          <w:sz w:val="24"/>
        </w:rPr>
        <w:t>принятыми с момента извещения.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8.6. Отсутствие у Исполнителя сведений о получении уведомления Заказчиком не является препятствием для перерасчёта тарифов со дня их изменения.</w:t>
      </w:r>
    </w:p>
    <w:p>
      <w:pPr>
        <w:pStyle w:val="Style49"/>
        <w:tabs>
          <w:tab w:val="clear" w:pos="708"/>
          <w:tab w:val="left" w:pos="1134" w:leader="none"/>
        </w:tabs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8.7. </w:t>
      </w:r>
      <w:r>
        <w:rPr>
          <w:rFonts w:ascii="Times New Roman" w:hAnsi="Times New Roman"/>
          <w:spacing w:val="10"/>
          <w:sz w:val="24"/>
        </w:rPr>
        <w:t xml:space="preserve">Все споры по настоящему договору разрешаются в установленном законом </w:t>
      </w:r>
      <w:r>
        <w:rPr>
          <w:rFonts w:ascii="Times New Roman" w:hAnsi="Times New Roman"/>
          <w:spacing w:val="-3"/>
          <w:sz w:val="24"/>
        </w:rPr>
        <w:t xml:space="preserve">порядке путём переговоров, а при недостижении согласия в Арбитражном суде </w:t>
      </w:r>
      <w:r>
        <w:rPr>
          <w:rFonts w:ascii="Times New Roman" w:hAnsi="Times New Roman"/>
          <w:color w:val="000000"/>
          <w:spacing w:val="-3"/>
          <w:sz w:val="24"/>
        </w:rPr>
        <w:t>Калининградской области</w:t>
      </w:r>
      <w:r>
        <w:rPr>
          <w:rFonts w:ascii="Times New Roman" w:hAnsi="Times New Roman"/>
          <w:spacing w:val="-3"/>
          <w:sz w:val="24"/>
        </w:rPr>
        <w:t>.</w:t>
      </w:r>
    </w:p>
    <w:p>
      <w:pPr>
        <w:pStyle w:val="Style49"/>
        <w:jc w:val="left"/>
        <w:rPr>
          <w:rFonts w:ascii="Times New Roman" w:hAnsi="Times New Roman"/>
          <w:spacing w:val="-10"/>
          <w:sz w:val="24"/>
        </w:rPr>
      </w:pPr>
      <w:r>
        <w:rPr>
          <w:rFonts w:ascii="Times New Roman" w:hAnsi="Times New Roman"/>
          <w:spacing w:val="-10"/>
          <w:sz w:val="24"/>
        </w:rPr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pacing w:val="-6"/>
          <w:sz w:val="24"/>
        </w:rPr>
        <w:t xml:space="preserve">IX. СРОК ДЕЙСТВИЯ ДОГОВОРА </w:t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pacing w:val="-6"/>
          <w:sz w:val="24"/>
        </w:rPr>
        <w:t xml:space="preserve">И ПОРЯДОК ЕГО ПЕРЕЗАКЛЮЧЕНИЯ НА НОВЫХ </w:t>
      </w:r>
      <w:r>
        <w:rPr>
          <w:rFonts w:ascii="Times New Roman" w:hAnsi="Times New Roman"/>
          <w:b/>
          <w:sz w:val="24"/>
        </w:rPr>
        <w:t>УСЛОВИЯХ</w:t>
      </w:r>
    </w:p>
    <w:p>
      <w:pPr>
        <w:pStyle w:val="Style49"/>
        <w:jc w:val="center"/>
        <w:rPr>
          <w:rFonts w:ascii="Times New Roman" w:hAnsi="Times New Roman"/>
          <w:b/>
          <w:b/>
          <w:sz w:val="24"/>
          <w:highlight w:val="white"/>
        </w:rPr>
      </w:pPr>
      <w:r>
        <w:rPr>
          <w:rFonts w:ascii="Times New Roman" w:hAnsi="Times New Roman"/>
          <w:b/>
          <w:sz w:val="24"/>
          <w:highlight w:val="white"/>
        </w:rPr>
      </w:r>
    </w:p>
    <w:p>
      <w:pPr>
        <w:pStyle w:val="Style49"/>
        <w:widowControl w:val="false"/>
        <w:numPr>
          <w:ilvl w:val="1"/>
          <w:numId w:val="7"/>
        </w:numPr>
        <w:tabs>
          <w:tab w:val="clear" w:pos="708"/>
          <w:tab w:val="left" w:pos="993" w:leader="none"/>
        </w:tabs>
        <w:ind w:left="0" w:right="0" w:firstLine="567"/>
        <w:jc w:val="both"/>
        <w:rPr>
          <w:highlight w:val="white"/>
        </w:rPr>
      </w:pPr>
      <w:r>
        <w:rPr>
          <w:rFonts w:ascii="Times New Roman" w:hAnsi="Times New Roman"/>
          <w:sz w:val="24"/>
          <w:highlight w:val="white"/>
        </w:rPr>
        <w:t>Настоящий договор заключается сроком с</w:t>
      </w:r>
      <w:r>
        <w:rPr>
          <w:rFonts w:ascii="Times New Roman" w:hAnsi="Times New Roman"/>
          <w:b/>
          <w:sz w:val="24"/>
          <w:highlight w:val="white"/>
        </w:rPr>
        <w:t xml:space="preserve"> </w:t>
      </w:r>
      <w:r>
        <w:rPr>
          <w:rFonts w:ascii="Times New Roman" w:hAnsi="Times New Roman"/>
          <w:b/>
          <w:color w:val="000000"/>
          <w:sz w:val="24"/>
          <w:highlight w:val="white"/>
        </w:rPr>
        <w:t>«___» ______________ 20__ года по «___» _________________ 20__ года.</w:t>
      </w:r>
      <w:r>
        <w:rPr>
          <w:rFonts w:ascii="Times New Roman" w:hAnsi="Times New Roman"/>
          <w:color w:val="000000"/>
          <w:spacing w:val="4"/>
          <w:sz w:val="24"/>
          <w:highlight w:val="white"/>
        </w:rPr>
        <w:t xml:space="preserve"> </w:t>
      </w:r>
      <w:r>
        <w:rPr>
          <w:rFonts w:ascii="Times New Roman" w:hAnsi="Times New Roman"/>
          <w:spacing w:val="4"/>
          <w:sz w:val="24"/>
          <w:highlight w:val="white"/>
        </w:rPr>
        <w:t xml:space="preserve">Если за один месяц до истечения срока действия договора ни одна из сторон не </w:t>
      </w:r>
      <w:r>
        <w:rPr>
          <w:rFonts w:ascii="Times New Roman" w:hAnsi="Times New Roman"/>
          <w:spacing w:val="7"/>
          <w:sz w:val="24"/>
          <w:highlight w:val="white"/>
        </w:rPr>
        <w:t xml:space="preserve">потребовала его прекращения или перезаключения, он считается пролонгированным на </w:t>
      </w:r>
      <w:r>
        <w:rPr>
          <w:rFonts w:ascii="Times New Roman" w:hAnsi="Times New Roman"/>
          <w:spacing w:val="-1"/>
          <w:sz w:val="24"/>
          <w:highlight w:val="white"/>
        </w:rPr>
        <w:t>прежних условиях, сроком на</w:t>
        <w:br/>
        <w:t>1 (один) календарный год.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1"/>
          <w:sz w:val="24"/>
        </w:rPr>
        <w:t>9.2.</w:t>
      </w:r>
      <w:r>
        <w:rPr>
          <w:rFonts w:ascii="Times New Roman" w:hAnsi="Times New Roman"/>
          <w:sz w:val="24"/>
        </w:rPr>
        <w:t xml:space="preserve"> Если в течение 15 календарных дней, с момента уведомления Заказчика об изменении условий договора, Исполнитель не получит письменный отказ от принятия изменений, это будет означать согласие Заказчика с указанными изменениями. Письменный отказ Заказчика от принятия изменений рассматривается как согласие о досрочном расторжении договора.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9.3. Информация, необходимая для уведомления Заказчика указана в разделе XI договора.</w:t>
      </w:r>
    </w:p>
    <w:p>
      <w:pPr>
        <w:pStyle w:val="Style49"/>
        <w:tabs>
          <w:tab w:val="clear" w:pos="708"/>
          <w:tab w:val="left" w:pos="993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9.4. В случае изменения информации, указанной в разделе XI договора, Заказчик обязан проинформировать Исполнителя о произошедших изменениях. В случае если изменения произошли, но Заказчик о них не проинформировал, все последующие уведомления производятся на адреса и телефоны, указанные Заказчиком.</w:t>
      </w:r>
    </w:p>
    <w:p>
      <w:pPr>
        <w:pStyle w:val="Style49"/>
        <w:jc w:val="left"/>
        <w:rPr>
          <w:rFonts w:ascii="Times New Roman" w:hAnsi="Times New Roman"/>
          <w:spacing w:val="-12"/>
          <w:sz w:val="20"/>
        </w:rPr>
      </w:pPr>
      <w:r>
        <w:rPr>
          <w:rFonts w:ascii="Times New Roman" w:hAnsi="Times New Roman"/>
          <w:spacing w:val="-12"/>
          <w:sz w:val="20"/>
        </w:rPr>
      </w:r>
    </w:p>
    <w:p>
      <w:pPr>
        <w:pStyle w:val="Style49"/>
        <w:jc w:val="center"/>
        <w:rPr/>
      </w:pPr>
      <w:r>
        <w:rPr>
          <w:rFonts w:ascii="Times New Roman" w:hAnsi="Times New Roman"/>
          <w:b/>
          <w:sz w:val="24"/>
        </w:rPr>
        <w:t>X. ПРОЧИЕ УСЛОВИЯ</w:t>
      </w:r>
    </w:p>
    <w:p>
      <w:pPr>
        <w:pStyle w:val="Style49"/>
        <w:jc w:val="center"/>
        <w:rPr>
          <w:rFonts w:ascii="Times New Roman" w:hAnsi="Times New Roman"/>
          <w:b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Style49"/>
        <w:widowControl w:val="false"/>
        <w:numPr>
          <w:ilvl w:val="1"/>
          <w:numId w:val="8"/>
        </w:numPr>
        <w:tabs>
          <w:tab w:val="clear" w:pos="708"/>
          <w:tab w:val="left" w:pos="1134" w:leader="none"/>
        </w:tabs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В соответствии с Федеральным законом от 27.07.2006 г. № 152-ФЗ «О персональных данных» Заказчик, подписав настоящий договор, дает согласие на обработку, включая сбор, систематизацию, накопление, хранение, уточнение, испол</w:t>
      </w:r>
      <w:r>
        <w:rPr>
          <w:rFonts w:ascii="Times New Roman" w:hAnsi="Times New Roman"/>
          <w:sz w:val="24"/>
          <w:highlight w:val="white"/>
        </w:rPr>
        <w:t>ьзование, распространение, уничтожение своих персональных данных с использованием средств автоматизации или без использования таких средств.</w:t>
      </w:r>
    </w:p>
    <w:p>
      <w:pPr>
        <w:pStyle w:val="Style49"/>
        <w:ind w:left="0" w:right="0" w:firstLine="567"/>
        <w:jc w:val="both"/>
        <w:rPr>
          <w:highlight w:val="white"/>
        </w:rPr>
      </w:pPr>
      <w:r>
        <w:rPr>
          <w:rFonts w:ascii="Times New Roman" w:hAnsi="Times New Roman"/>
          <w:spacing w:val="3"/>
          <w:sz w:val="24"/>
          <w:highlight w:val="white"/>
        </w:rPr>
        <w:t xml:space="preserve">10.2. Настоящий договор составлен в 2-х экземплярах, имеющих одинаковую </w:t>
      </w:r>
      <w:r>
        <w:rPr>
          <w:rFonts w:ascii="Times New Roman" w:hAnsi="Times New Roman"/>
          <w:spacing w:val="4"/>
          <w:sz w:val="24"/>
          <w:highlight w:val="white"/>
        </w:rPr>
        <w:t xml:space="preserve">юридическую силу. </w:t>
      </w:r>
      <w:r>
        <w:rPr>
          <w:rFonts w:ascii="Times New Roman" w:hAnsi="Times New Roman"/>
          <w:spacing w:val="6"/>
          <w:sz w:val="24"/>
          <w:highlight w:val="white"/>
        </w:rPr>
        <w:t xml:space="preserve">Первый экземпляр договора находится у </w:t>
      </w:r>
      <w:r>
        <w:rPr>
          <w:rFonts w:ascii="Times New Roman" w:hAnsi="Times New Roman"/>
          <w:spacing w:val="-1"/>
          <w:sz w:val="24"/>
          <w:highlight w:val="white"/>
        </w:rPr>
        <w:t>Исполнителя, второй у Заказчика.</w:t>
      </w:r>
    </w:p>
    <w:p>
      <w:pPr>
        <w:pStyle w:val="Style49"/>
        <w:ind w:left="0" w:right="0" w:firstLine="567"/>
        <w:jc w:val="both"/>
        <w:rPr>
          <w:rFonts w:ascii="Times New Roman" w:hAnsi="Times New Roman"/>
          <w:sz w:val="24"/>
          <w:highlight w:val="white"/>
        </w:rPr>
      </w:pPr>
      <w:r>
        <w:rPr>
          <w:rFonts w:ascii="Times New Roman" w:hAnsi="Times New Roman"/>
          <w:sz w:val="24"/>
          <w:highlight w:val="white"/>
        </w:rPr>
      </w:r>
    </w:p>
    <w:p>
      <w:pPr>
        <w:pStyle w:val="Style49"/>
        <w:ind w:left="0" w:right="0" w:firstLine="567"/>
        <w:jc w:val="both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</w:r>
    </w:p>
    <w:p>
      <w:pPr>
        <w:pStyle w:val="Style49"/>
        <w:jc w:val="center"/>
        <w:rPr>
          <w:highlight w:val="white"/>
        </w:rPr>
      </w:pPr>
      <w:r>
        <w:rPr>
          <w:rFonts w:ascii="Times New Roman" w:hAnsi="Times New Roman"/>
          <w:b/>
          <w:sz w:val="24"/>
          <w:highlight w:val="white"/>
        </w:rPr>
        <w:t>XI. РЕКВИЗИТЫ И ПОДПИСИ СТОРОН</w:t>
      </w:r>
    </w:p>
    <w:p>
      <w:pPr>
        <w:pStyle w:val="Style49"/>
        <w:jc w:val="center"/>
        <w:rPr>
          <w:rFonts w:ascii="Times New Roman" w:hAnsi="Times New Roman"/>
          <w:b/>
          <w:b/>
          <w:sz w:val="24"/>
          <w:highlight w:val="white"/>
        </w:rPr>
      </w:pPr>
      <w:r>
        <w:rPr>
          <w:rFonts w:ascii="Times New Roman" w:hAnsi="Times New Roman"/>
          <w:b/>
          <w:sz w:val="24"/>
          <w:highlight w:val="white"/>
        </w:rPr>
      </w:r>
    </w:p>
    <w:tbl>
      <w:tblPr>
        <w:tblStyle w:val="Style_4"/>
        <w:tblW w:w="9238" w:type="dxa"/>
        <w:jc w:val="left"/>
        <w:tblInd w:w="0" w:type="dxa"/>
        <w:tblCellMar>
          <w:top w:w="0" w:type="dxa"/>
          <w:left w:w="5" w:type="dxa"/>
          <w:bottom w:w="0" w:type="dxa"/>
          <w:right w:w="5" w:type="dxa"/>
        </w:tblCellMar>
      </w:tblPr>
      <w:tblGrid>
        <w:gridCol w:w="4484"/>
        <w:gridCol w:w="4753"/>
      </w:tblGrid>
      <w:tr>
        <w:trPr>
          <w:trHeight w:val="895" w:hRule="atLeast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 w:before="0" w:after="0"/>
              <w:ind w:left="0" w:right="0" w:hanging="0"/>
              <w:contextualSpacing/>
              <w:jc w:val="both"/>
              <w:rPr>
                <w:highlight w:val="white"/>
              </w:rPr>
            </w:pPr>
            <w:r>
              <w:rPr>
                <w:b w:val="false"/>
                <w:sz w:val="24"/>
                <w:highlight w:val="white"/>
              </w:rPr>
              <w:t xml:space="preserve">                 </w:t>
            </w:r>
            <w:r>
              <w:rPr>
                <w:b/>
                <w:sz w:val="24"/>
                <w:highlight w:val="white"/>
              </w:rPr>
              <w:t xml:space="preserve"> </w:t>
            </w:r>
            <w:r>
              <w:rPr>
                <w:b/>
                <w:sz w:val="24"/>
                <w:highlight w:val="white"/>
              </w:rPr>
              <w:t>«ЗАКАЗЧИК»</w:t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 w:before="0" w:after="0"/>
              <w:ind w:left="0" w:right="0" w:hanging="0"/>
              <w:contextualSpacing/>
              <w:jc w:val="both"/>
              <w:rPr>
                <w:b w:val="false"/>
                <w:b w:val="false"/>
                <w:sz w:val="24"/>
                <w:highlight w:val="white"/>
              </w:rPr>
            </w:pPr>
            <w:r>
              <w:rPr>
                <w:b w:val="false"/>
                <w:sz w:val="24"/>
                <w:highlight w:val="white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 w:before="0" w:after="0"/>
              <w:ind w:left="0" w:right="0" w:hanging="0"/>
              <w:contextualSpacing/>
              <w:jc w:val="left"/>
              <w:rPr>
                <w:highlight w:val="white"/>
              </w:rPr>
            </w:pPr>
            <w:r>
              <w:rPr>
                <w:b/>
                <w:color w:val="000000"/>
                <w:sz w:val="24"/>
                <w:highlight w:val="white"/>
              </w:rPr>
              <w:t>Общество с ограниченной ответственностью частная охранная организация «</w:t>
            </w:r>
            <w:r>
              <w:rPr>
                <w:b/>
                <w:color w:val="000000"/>
                <w:spacing w:val="0"/>
                <w:sz w:val="24"/>
                <w:highlight w:val="white"/>
              </w:rPr>
              <w:t>НАИМЕНОВАНИЕ</w:t>
            </w:r>
            <w:r>
              <w:rPr>
                <w:b/>
                <w:color w:val="000000"/>
                <w:sz w:val="24"/>
                <w:highlight w:val="white"/>
              </w:rPr>
              <w:t>»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 w:before="0" w:after="0"/>
              <w:ind w:left="0" w:right="-113" w:hanging="0"/>
              <w:contextualSpacing/>
              <w:jc w:val="left"/>
              <w:rPr>
                <w:highlight w:val="white"/>
              </w:rPr>
            </w:pPr>
            <w:r>
              <w:rPr>
                <w:b w:val="false"/>
                <w:sz w:val="24"/>
                <w:highlight w:val="white"/>
              </w:rPr>
              <w:t xml:space="preserve">Юр. адрес: Индекс, г. …., ул. …., д.., Почтовый адрес: Индекс, г. ..., ул. …., д...,  </w:t>
            </w:r>
            <w:r>
              <w:rPr>
                <w:highlight w:val="white"/>
              </w:rPr>
              <w:t>ОГРН ….</w:t>
              <w:br/>
              <w:t>ИНН …..</w:t>
              <w:br/>
              <w:t>КПП….</w:t>
              <w:br/>
              <w:t>р/с …….. в БАНКЕ…...</w:t>
              <w:br/>
              <w:t>к/с …...</w:t>
              <w:br/>
              <w:t>БИК ….</w:t>
              <w:br/>
              <w:t>тел.: ….</w:t>
              <w:br/>
              <w:t>факс: …..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 w:before="0" w:after="0"/>
              <w:ind w:left="0" w:right="-113" w:hanging="0"/>
              <w:contextualSpacing/>
              <w:jc w:val="left"/>
              <w:rPr>
                <w:highlight w:val="white"/>
              </w:rPr>
            </w:pPr>
            <w:r>
              <w:rPr>
                <w:highlight w:val="white"/>
              </w:rPr>
              <w:t>адрес электронной почты:…..</w:t>
              <w:br/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 w:before="0" w:after="0"/>
              <w:ind w:left="0" w:right="0" w:hanging="0"/>
              <w:contextualSpacing/>
              <w:jc w:val="both"/>
              <w:rPr>
                <w:b w:val="false"/>
                <w:b w:val="false"/>
                <w:sz w:val="24"/>
                <w:highlight w:val="white"/>
              </w:rPr>
            </w:pPr>
            <w:r>
              <w:rPr>
                <w:b w:val="false"/>
                <w:sz w:val="24"/>
                <w:highlight w:val="white"/>
              </w:rPr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 w:before="0" w:after="0"/>
              <w:ind w:left="0" w:right="0" w:hanging="0"/>
              <w:contextualSpacing/>
              <w:jc w:val="both"/>
              <w:rPr>
                <w:b w:val="false"/>
                <w:b w:val="false"/>
                <w:sz w:val="24"/>
                <w:highlight w:val="white"/>
              </w:rPr>
            </w:pPr>
            <w:r>
              <w:rPr>
                <w:b w:val="false"/>
                <w:sz w:val="24"/>
                <w:highlight w:val="white"/>
              </w:rPr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 w:before="0" w:after="0"/>
              <w:ind w:left="0" w:right="0" w:hanging="0"/>
              <w:contextualSpacing/>
              <w:jc w:val="both"/>
              <w:rPr>
                <w:b w:val="false"/>
                <w:b w:val="false"/>
                <w:sz w:val="24"/>
                <w:highlight w:val="white"/>
              </w:rPr>
            </w:pPr>
            <w:r>
              <w:rPr>
                <w:b w:val="false"/>
                <w:sz w:val="24"/>
                <w:highlight w:val="white"/>
              </w:rPr>
            </w:r>
          </w:p>
        </w:tc>
        <w:tc>
          <w:tcPr>
            <w:tcW w:w="4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/>
              <w:jc w:val="center"/>
              <w:rPr>
                <w:highlight w:val="white"/>
              </w:rPr>
            </w:pPr>
            <w:r>
              <w:rPr>
                <w:b/>
                <w:color w:val="000000"/>
                <w:sz w:val="24"/>
                <w:highlight w:val="white"/>
              </w:rPr>
              <w:t>«ИСПОЛНИТЕЛЬ»</w:t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spacing w:lineRule="auto" w:line="240"/>
              <w:jc w:val="center"/>
              <w:rPr>
                <w:highlight w:val="white"/>
              </w:rPr>
            </w:pPr>
            <w:r>
              <w:rPr>
                <w:highlight w:val="whit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57" w:hanging="0"/>
              <w:jc w:val="both"/>
              <w:rPr>
                <w:highlight w:val="white"/>
              </w:rPr>
            </w:pPr>
            <w:r>
              <w:rPr>
                <w:b/>
                <w:sz w:val="24"/>
                <w:highlight w:val="white"/>
              </w:rPr>
              <w:t>Федеральное государственное казенное учреждение «</w:t>
            </w:r>
            <w:r>
              <w:rPr>
                <w:b/>
                <w:color w:val="000000"/>
                <w:sz w:val="24"/>
                <w:highlight w:val="white"/>
              </w:rPr>
              <w:t xml:space="preserve">Управление </w:t>
            </w:r>
            <w:r>
              <w:rPr>
                <w:b/>
                <w:sz w:val="24"/>
                <w:highlight w:val="white"/>
              </w:rPr>
              <w:t>вневедомственной охраны войск национальной гвардии Российской Федерации по Калининградской области»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236010, г. Калининград, проспект Победы, 61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Тел./факс (4012) 955915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 xml:space="preserve">ИНН 3906272898 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КПП 390601001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ОГРН 1123926048718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ОКПО 08676398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ОКТМО 27701000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ОКОПФ 75104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ОКФС 12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Кор. счет  40102810545370000028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Рас. счет 03100643000000013500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л/с 04351D16050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13" w:hanging="0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 xml:space="preserve">Отделение Калининград // УФК 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13" w:hanging="0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по Калининградской области, г. Калининград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БИК 012748051</w:t>
            </w:r>
          </w:p>
          <w:p>
            <w:pPr>
              <w:pStyle w:val="Normal"/>
              <w:jc w:val="both"/>
              <w:rPr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  <w:t>КБК 180 113 01081 01 7000 130</w:t>
            </w:r>
          </w:p>
          <w:p>
            <w:pPr>
              <w:pStyle w:val="Normal"/>
              <w:jc w:val="both"/>
              <w:rPr>
                <w:rFonts w:ascii="Times New Roman" w:hAnsi="Times New Roman"/>
                <w:b w:val="false"/>
                <w:b w:val="false"/>
                <w:i w:val="false"/>
                <w:i w:val="false"/>
                <w:color w:val="000000"/>
                <w:spacing w:val="-2"/>
                <w:sz w:val="22"/>
                <w:highlight w:val="white"/>
              </w:rPr>
            </w:pPr>
            <w:r>
              <w:rPr>
                <w:b w:val="false"/>
                <w:i w:val="false"/>
                <w:color w:val="000000"/>
                <w:spacing w:val="-2"/>
                <w:sz w:val="22"/>
                <w:highlight w:val="white"/>
              </w:rPr>
            </w:r>
          </w:p>
        </w:tc>
      </w:tr>
      <w:tr>
        <w:trPr>
          <w:trHeight w:val="1670" w:hRule="atLeast"/>
        </w:trPr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rPr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  <w:t xml:space="preserve">Генеральный директор </w:t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rPr>
                <w:highlight w:val="white"/>
              </w:rPr>
            </w:pPr>
            <w:r>
              <w:rPr>
                <w:b w:val="false"/>
                <w:bCs w:val="false"/>
                <w:color w:val="000000"/>
                <w:sz w:val="24"/>
                <w:highlight w:val="white"/>
              </w:rPr>
              <w:t>ООО ЧОО «</w:t>
            </w:r>
            <w:r>
              <w:rPr>
                <w:b w:val="false"/>
                <w:bCs w:val="false"/>
                <w:color w:val="000000"/>
                <w:spacing w:val="0"/>
                <w:sz w:val="24"/>
                <w:highlight w:val="white"/>
              </w:rPr>
              <w:t>НАИМЕНОВАНИЕ</w:t>
            </w:r>
            <w:r>
              <w:rPr>
                <w:b w:val="false"/>
                <w:bCs w:val="false"/>
                <w:color w:val="000000"/>
                <w:sz w:val="24"/>
                <w:highlight w:val="white"/>
              </w:rPr>
              <w:t>»</w:t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rPr>
                <w:b w:val="false"/>
                <w:b w:val="false"/>
                <w:bCs w:val="false"/>
                <w:sz w:val="24"/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rPr>
                <w:b w:val="false"/>
                <w:b w:val="false"/>
                <w:bCs w:val="false"/>
                <w:sz w:val="24"/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</w:r>
          </w:p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  <w:t>________________/</w:t>
            </w:r>
            <w:r>
              <w:rPr>
                <w:b w:val="false"/>
                <w:bCs w:val="false"/>
                <w:color w:val="000000"/>
                <w:sz w:val="24"/>
                <w:highlight w:val="white"/>
              </w:rPr>
              <w:t>И.О.Фамилия/</w:t>
            </w:r>
          </w:p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highlight w:val="white"/>
              </w:rPr>
            </w:pPr>
            <w:r>
              <w:rPr>
                <w:b w:val="false"/>
                <w:bCs w:val="false"/>
                <w:sz w:val="20"/>
                <w:szCs w:val="20"/>
                <w:highlight w:val="white"/>
              </w:rPr>
              <w:t xml:space="preserve">                   </w:t>
            </w:r>
            <w:r>
              <w:rPr>
                <w:b w:val="false"/>
                <w:bCs w:val="false"/>
                <w:sz w:val="20"/>
                <w:szCs w:val="20"/>
                <w:highlight w:val="white"/>
              </w:rPr>
              <w:t>М.П.</w:t>
            </w:r>
            <w:r>
              <w:rPr>
                <w:b w:val="false"/>
                <w:bCs w:val="false"/>
                <w:sz w:val="24"/>
                <w:highlight w:val="white"/>
              </w:rPr>
              <w:t xml:space="preserve">  </w:t>
            </w:r>
          </w:p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sz w:val="24"/>
                <w:highlight w:val="white"/>
              </w:rPr>
            </w:pPr>
            <w:r>
              <w:rPr>
                <w:sz w:val="24"/>
                <w:highlight w:val="white"/>
              </w:rPr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rPr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  <w:t xml:space="preserve">«____» ______________20__ г. </w:t>
            </w:r>
          </w:p>
        </w:tc>
        <w:tc>
          <w:tcPr>
            <w:tcW w:w="4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highlight w:val="white"/>
              </w:rPr>
            </w:pPr>
            <w:r>
              <w:rPr>
                <w:b w:val="false"/>
                <w:bCs w:val="false"/>
                <w:color w:val="000000"/>
                <w:sz w:val="24"/>
                <w:highlight w:val="white"/>
              </w:rPr>
              <w:t>Н</w:t>
            </w:r>
            <w:r>
              <w:rPr>
                <w:b w:val="false"/>
                <w:bCs w:val="false"/>
                <w:sz w:val="24"/>
                <w:highlight w:val="white"/>
              </w:rPr>
              <w:t>ачальник ФГКУ «УВО ВНГ России</w:t>
              <w:br/>
              <w:t xml:space="preserve">по </w:t>
            </w:r>
            <w:r>
              <w:rPr>
                <w:b w:val="false"/>
                <w:bCs w:val="false"/>
                <w:color w:val="000000"/>
                <w:sz w:val="24"/>
                <w:highlight w:val="white"/>
              </w:rPr>
              <w:t>Калининградской области</w:t>
            </w:r>
            <w:r>
              <w:rPr>
                <w:b w:val="false"/>
                <w:bCs w:val="false"/>
                <w:sz w:val="24"/>
                <w:highlight w:val="white"/>
              </w:rPr>
              <w:t>»</w:t>
            </w:r>
          </w:p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bCs w:val="false"/>
                <w:sz w:val="24"/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</w:r>
          </w:p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bCs w:val="false"/>
                <w:sz w:val="24"/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</w:r>
          </w:p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  <w:t>________________/</w:t>
            </w:r>
            <w:r>
              <w:rPr>
                <w:b w:val="false"/>
                <w:bCs w:val="false"/>
                <w:color w:val="000000"/>
                <w:sz w:val="24"/>
                <w:highlight w:val="white"/>
              </w:rPr>
              <w:t>Е.И. Гинч</w:t>
            </w:r>
            <w:r>
              <w:rPr>
                <w:b w:val="false"/>
                <w:bCs w:val="false"/>
                <w:sz w:val="24"/>
                <w:highlight w:val="white"/>
              </w:rPr>
              <w:t xml:space="preserve">/ </w:t>
            </w:r>
          </w:p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highlight w:val="white"/>
              </w:rPr>
            </w:pPr>
            <w:r>
              <w:rPr>
                <w:b w:val="false"/>
                <w:bCs w:val="false"/>
                <w:sz w:val="20"/>
                <w:szCs w:val="20"/>
                <w:highlight w:val="white"/>
              </w:rPr>
              <w:t xml:space="preserve">                   </w:t>
            </w:r>
            <w:r>
              <w:rPr>
                <w:b w:val="false"/>
                <w:bCs w:val="false"/>
                <w:sz w:val="20"/>
                <w:szCs w:val="20"/>
                <w:highlight w:val="white"/>
              </w:rPr>
              <w:t xml:space="preserve">М.П.  </w:t>
            </w:r>
          </w:p>
          <w:p>
            <w:pPr>
              <w:pStyle w:val="13"/>
              <w:tabs>
                <w:tab w:val="clear" w:pos="708"/>
                <w:tab w:val="left" w:pos="2268" w:leader="none"/>
              </w:tabs>
              <w:ind w:left="0" w:right="0" w:hanging="0"/>
              <w:rPr>
                <w:b w:val="false"/>
                <w:b w:val="false"/>
                <w:bCs w:val="false"/>
                <w:sz w:val="20"/>
                <w:szCs w:val="20"/>
                <w:highlight w:val="white"/>
              </w:rPr>
            </w:pPr>
            <w:r>
              <w:rPr>
                <w:b w:val="false"/>
                <w:bCs w:val="false"/>
                <w:sz w:val="20"/>
                <w:szCs w:val="20"/>
                <w:highlight w:val="white"/>
              </w:rPr>
            </w:r>
          </w:p>
          <w:p>
            <w:pPr>
              <w:pStyle w:val="Normal"/>
              <w:tabs>
                <w:tab w:val="clear" w:pos="708"/>
                <w:tab w:val="left" w:pos="284" w:leader="none"/>
                <w:tab w:val="left" w:pos="4111" w:leader="none"/>
              </w:tabs>
              <w:rPr>
                <w:highlight w:val="white"/>
              </w:rPr>
            </w:pPr>
            <w:r>
              <w:rPr>
                <w:b w:val="false"/>
                <w:bCs w:val="false"/>
                <w:sz w:val="24"/>
                <w:highlight w:val="white"/>
              </w:rPr>
              <w:t>«____» ______________20</w:t>
            </w:r>
            <w:r>
              <w:rPr>
                <w:b w:val="false"/>
                <w:bCs w:val="false"/>
                <w:sz w:val="24"/>
                <w:highlight w:val="white"/>
              </w:rPr>
              <w:t>__</w:t>
            </w:r>
            <w:r>
              <w:rPr>
                <w:b w:val="false"/>
                <w:bCs w:val="false"/>
                <w:sz w:val="24"/>
                <w:highlight w:val="white"/>
              </w:rPr>
              <w:t xml:space="preserve"> г.   </w:t>
            </w:r>
          </w:p>
        </w:tc>
      </w:tr>
    </w:tbl>
    <w:p>
      <w:pPr>
        <w:pStyle w:val="Normal"/>
        <w:widowControl/>
        <w:spacing w:before="0" w:after="0"/>
        <w:ind w:left="-113" w:right="-454" w:hanging="0"/>
        <w:jc w:val="center"/>
        <w:rPr>
          <w:sz w:val="24"/>
          <w:highlight w:val="white"/>
        </w:rPr>
      </w:pPr>
      <w:r>
        <w:rPr>
          <w:sz w:val="24"/>
          <w:highlight w:val="white"/>
        </w:rPr>
      </w:r>
    </w:p>
    <w:p>
      <w:pPr>
        <w:pStyle w:val="Normal"/>
        <w:jc w:val="center"/>
        <w:rPr>
          <w:rFonts w:ascii="Times New Roman" w:hAnsi="Times New Roman"/>
          <w:b/>
          <w:b/>
          <w:sz w:val="2"/>
          <w:highlight w:val="white"/>
        </w:rPr>
      </w:pPr>
      <w:r>
        <w:rPr>
          <w:b/>
          <w:sz w:val="2"/>
          <w:highlight w:val="white"/>
        </w:rPr>
      </w:r>
    </w:p>
    <w:p>
      <w:pPr>
        <w:pStyle w:val="Normal"/>
        <w:ind w:left="0" w:right="0" w:firstLine="567"/>
        <w:jc w:val="both"/>
        <w:rPr>
          <w:highlight w:val="white"/>
        </w:rPr>
      </w:pPr>
      <w:r>
        <w:rPr>
          <w:highlight w:val="white"/>
        </w:rPr>
      </w:r>
    </w:p>
    <w:sectPr>
      <w:headerReference w:type="default" r:id="rId2"/>
      <w:headerReference w:type="first" r:id="rId3"/>
      <w:type w:val="nextPage"/>
      <w:pgSz w:w="11906" w:h="16838"/>
      <w:pgMar w:left="1701" w:right="1134" w:header="720" w:top="1134" w:footer="0" w:bottom="1134" w:gutter="0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XO Thames">
    <w:charset w:val="01"/>
    <w:family w:val="roman"/>
    <w:pitch w:val="default"/>
  </w:font>
  <w:font w:name="PT Astra Serif">
    <w:charset w:val="01"/>
    <w:family w:val="roman"/>
    <w:pitch w:val="default"/>
  </w:font>
  <w:font w:name="Calibri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decimal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4"/>
      <w:numFmt w:val="decimal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pStyle w:val="5"/>
      <w:numFmt w:val="decimal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6"/>
      <w:numFmt w:val="decimal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7"/>
      <w:numFmt w:val="decimal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8"/>
      <w:numFmt w:val="decimal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9"/>
      <w:numFmt w:val="decimal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24"/>
        <w:spacing w:val="3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713" w:hanging="720"/>
      </w:pPr>
      <w:rPr>
        <w:sz w:val="24"/>
        <w:spacing w:val="3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706" w:hanging="720"/>
      </w:pPr>
      <w:rPr>
        <w:sz w:val="24"/>
        <w:spacing w:val="3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059" w:hanging="1080"/>
      </w:pPr>
      <w:rPr>
        <w:sz w:val="24"/>
        <w:spacing w:val="3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052" w:hanging="1080"/>
      </w:pPr>
      <w:rPr>
        <w:sz w:val="24"/>
        <w:spacing w:val="3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05" w:hanging="1440"/>
      </w:pPr>
      <w:rPr>
        <w:sz w:val="24"/>
        <w:spacing w:val="3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398" w:hanging="1440"/>
      </w:pPr>
      <w:rPr>
        <w:sz w:val="24"/>
        <w:spacing w:val="3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8751" w:hanging="1800"/>
      </w:pPr>
      <w:rPr>
        <w:sz w:val="24"/>
        <w:spacing w:val="3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9744" w:hanging="1800"/>
      </w:pPr>
      <w:rPr>
        <w:sz w:val="24"/>
        <w:spacing w:val="3"/>
      </w:rPr>
    </w:lvl>
  </w:abstractNum>
  <w:abstractNum w:abstractNumId="3">
    <w:lvl w:ilvl="0">
      <w:start w:val="1"/>
      <w:numFmt w:val="decimal"/>
      <w:lvlText w:val="2.%1."/>
      <w:lvlJc w:val="left"/>
      <w:pPr>
        <w:tabs>
          <w:tab w:val="num" w:pos="0"/>
        </w:tabs>
        <w:ind w:left="360" w:hanging="360"/>
      </w:pPr>
      <w:rPr>
        <w:sz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713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70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059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05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0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39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8751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9744" w:hanging="1800"/>
      </w:pPr>
    </w:lvl>
  </w:abstractNum>
  <w:abstractNum w:abstractNumId="4">
    <w:lvl w:ilvl="0">
      <w:start w:val="1"/>
      <w:numFmt w:val="decimal"/>
      <w:lvlText w:val="3.%1."/>
      <w:lvlJc w:val="left"/>
      <w:pPr>
        <w:tabs>
          <w:tab w:val="num" w:pos="0"/>
        </w:tabs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4.%1."/>
      <w:lvlJc w:val="left"/>
      <w:pPr>
        <w:tabs>
          <w:tab w:val="num" w:pos="0"/>
        </w:tabs>
        <w:ind w:left="720" w:hanging="360"/>
      </w:pPr>
      <w:rPr>
        <w:sz w:val="24"/>
        <w:spacing w:val="1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8.%1."/>
      <w:lvlJc w:val="left"/>
      <w:pPr>
        <w:tabs>
          <w:tab w:val="num" w:pos="0"/>
        </w:tabs>
        <w:ind w:left="720" w:hanging="360"/>
      </w:pPr>
      <w:rPr>
        <w:sz w:val="24"/>
        <w:spacing w:val="-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9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24"/>
        <w:spacing w:val="-1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sz w:val="24"/>
        <w:spacing w:val="-1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sz w:val="24"/>
        <w:spacing w:val="-1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sz w:val="24"/>
        <w:spacing w:val="-1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sz w:val="24"/>
        <w:spacing w:val="-1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sz w:val="24"/>
        <w:spacing w:val="-1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sz w:val="24"/>
        <w:spacing w:val="-1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sz w:val="24"/>
        <w:spacing w:val="-1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sz w:val="24"/>
        <w:spacing w:val="-1"/>
      </w:rPr>
    </w:lvl>
  </w:abstractNum>
  <w:abstractNum w:abstractNumId="8">
    <w:lvl w:ilvl="0">
      <w:start w:val="10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6" w:hanging="48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0" w:unhideWhenUsed="0" w:qFormat="1"/>
    <w:lsdException w:name="heading 7" w:uiPriority="9" w:semiHidden="0" w:unhideWhenUsed="0" w:qFormat="1"/>
    <w:lsdException w:name="heading 8" w:uiPriority="9" w:semiHidden="0" w:unhideWhenUsed="0" w:qFormat="1"/>
    <w:lsdException w:name="heading 9" w:uiPriority="9" w:semiHidden="0" w:unhideWhenUsed="0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next w:val="Normal"/>
    <w:link w:val="Style_21_ch"/>
    <w:uiPriority w:val="9"/>
    <w:qFormat/>
    <w:pPr>
      <w:widowControl/>
      <w:numPr>
        <w:ilvl w:val="0"/>
        <w:numId w:val="1"/>
      </w:numPr>
      <w:suppressAutoHyphens w:val="true"/>
      <w:bidi w:val="0"/>
      <w:spacing w:lineRule="auto" w:line="240" w:before="0" w:after="0"/>
      <w:ind w:left="0" w:right="0" w:hanging="0"/>
      <w:jc w:val="left"/>
      <w:outlineLvl w:val="0"/>
    </w:pPr>
    <w:rPr>
      <w:rFonts w:ascii="Cambria" w:hAnsi="Cambria" w:eastAsia="Tahoma" w:cs="Noto Sans Devanagari"/>
      <w:b/>
      <w:color w:val="365F91"/>
      <w:spacing w:val="0"/>
      <w:kern w:val="0"/>
      <w:sz w:val="28"/>
      <w:szCs w:val="20"/>
      <w:lang w:val="ru-RU" w:eastAsia="zh-CN" w:bidi="hi-IN"/>
    </w:rPr>
  </w:style>
  <w:style w:type="paragraph" w:styleId="2">
    <w:name w:val="Heading 2"/>
    <w:basedOn w:val="Normal"/>
    <w:next w:val="Normal"/>
    <w:link w:val="Style_224_ch"/>
    <w:uiPriority w:val="9"/>
    <w:qFormat/>
    <w:pPr>
      <w:keepNext w:val="true"/>
      <w:keepLines/>
      <w:numPr>
        <w:ilvl w:val="1"/>
        <w:numId w:val="1"/>
      </w:numPr>
      <w:spacing w:before="200" w:after="0"/>
      <w:outlineLvl w:val="1"/>
    </w:pPr>
    <w:rPr>
      <w:rFonts w:ascii="Cambria" w:hAnsi="Cambria"/>
      <w:b/>
      <w:color w:val="4F81BD"/>
      <w:sz w:val="26"/>
    </w:rPr>
  </w:style>
  <w:style w:type="paragraph" w:styleId="3">
    <w:name w:val="Heading 3"/>
    <w:next w:val="Normal"/>
    <w:link w:val="Style_208_ch"/>
    <w:qFormat/>
    <w:pPr>
      <w:widowControl/>
      <w:numPr>
        <w:ilvl w:val="2"/>
        <w:numId w:val="1"/>
      </w:numPr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Cambria" w:hAnsi="Cambria" w:eastAsia="Tahoma" w:cs="Noto Sans Devanagari"/>
      <w:b/>
      <w:color w:val="4F81BD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basedOn w:val="Normal"/>
    <w:next w:val="Normal"/>
    <w:link w:val="Style_217_ch"/>
    <w:uiPriority w:val="9"/>
    <w:qFormat/>
    <w:pPr>
      <w:keepNext w:val="true"/>
      <w:keepLines/>
      <w:numPr>
        <w:ilvl w:val="3"/>
        <w:numId w:val="1"/>
      </w:numPr>
      <w:spacing w:before="200" w:after="0"/>
      <w:outlineLvl w:val="3"/>
    </w:pPr>
    <w:rPr>
      <w:rFonts w:ascii="Cambria" w:hAnsi="Cambria"/>
      <w:b/>
      <w:i/>
      <w:color w:val="4F81BD"/>
    </w:rPr>
  </w:style>
  <w:style w:type="paragraph" w:styleId="5">
    <w:name w:val="Heading 5"/>
    <w:next w:val="Normal"/>
    <w:link w:val="Style_128_ch"/>
    <w:qFormat/>
    <w:pPr>
      <w:widowControl/>
      <w:numPr>
        <w:ilvl w:val="4"/>
        <w:numId w:val="1"/>
      </w:numPr>
      <w:suppressAutoHyphens w:val="true"/>
      <w:bidi w:val="0"/>
      <w:spacing w:lineRule="auto" w:line="240" w:before="0" w:after="0"/>
      <w:ind w:left="0" w:right="0" w:hanging="0"/>
      <w:jc w:val="left"/>
      <w:outlineLvl w:val="4"/>
    </w:pPr>
    <w:rPr>
      <w:rFonts w:ascii="Cambria" w:hAnsi="Cambria" w:eastAsia="Tahoma" w:cs="Noto Sans Devanagari"/>
      <w:color w:val="243F60"/>
      <w:spacing w:val="0"/>
      <w:kern w:val="0"/>
      <w:sz w:val="20"/>
      <w:szCs w:val="20"/>
      <w:lang w:val="ru-RU" w:eastAsia="zh-CN" w:bidi="hi-IN"/>
    </w:rPr>
  </w:style>
  <w:style w:type="paragraph" w:styleId="6">
    <w:name w:val="Heading 6"/>
    <w:basedOn w:val="Normal"/>
    <w:next w:val="Normal"/>
    <w:link w:val="Style_231_ch"/>
    <w:uiPriority w:val="9"/>
    <w:qFormat/>
    <w:pPr>
      <w:keepNext w:val="true"/>
      <w:keepLines/>
      <w:numPr>
        <w:ilvl w:val="5"/>
        <w:numId w:val="1"/>
      </w:numPr>
      <w:spacing w:before="200" w:after="0"/>
      <w:outlineLvl w:val="5"/>
    </w:pPr>
    <w:rPr>
      <w:rFonts w:ascii="Cambria" w:hAnsi="Cambria"/>
      <w:i/>
      <w:color w:val="243F60"/>
    </w:rPr>
  </w:style>
  <w:style w:type="paragraph" w:styleId="7">
    <w:name w:val="Heading 7"/>
    <w:next w:val="Normal"/>
    <w:link w:val="Style_123_ch"/>
    <w:qFormat/>
    <w:pPr>
      <w:widowControl/>
      <w:numPr>
        <w:ilvl w:val="6"/>
        <w:numId w:val="1"/>
      </w:numPr>
      <w:suppressAutoHyphens w:val="true"/>
      <w:bidi w:val="0"/>
      <w:spacing w:lineRule="auto" w:line="240" w:before="0" w:after="0"/>
      <w:ind w:left="0" w:right="0" w:hanging="0"/>
      <w:jc w:val="left"/>
      <w:outlineLvl w:val="6"/>
    </w:pPr>
    <w:rPr>
      <w:rFonts w:ascii="Cambria" w:hAnsi="Cambria" w:eastAsia="Tahoma" w:cs="Noto Sans Devanagari"/>
      <w:i/>
      <w:color w:val="404040"/>
      <w:spacing w:val="0"/>
      <w:kern w:val="0"/>
      <w:sz w:val="20"/>
      <w:szCs w:val="20"/>
      <w:lang w:val="ru-RU" w:eastAsia="zh-CN" w:bidi="hi-IN"/>
    </w:rPr>
  </w:style>
  <w:style w:type="paragraph" w:styleId="8">
    <w:name w:val="Heading 8"/>
    <w:next w:val="Normal"/>
    <w:link w:val="Style_132_ch"/>
    <w:uiPriority w:val="9"/>
    <w:qFormat/>
    <w:pPr>
      <w:widowControl/>
      <w:numPr>
        <w:ilvl w:val="7"/>
        <w:numId w:val="1"/>
      </w:numPr>
      <w:suppressAutoHyphens w:val="true"/>
      <w:bidi w:val="0"/>
      <w:spacing w:lineRule="auto" w:line="240" w:before="0" w:after="0"/>
      <w:ind w:left="0" w:right="0" w:hanging="0"/>
      <w:jc w:val="left"/>
      <w:outlineLvl w:val="7"/>
    </w:pPr>
    <w:rPr>
      <w:rFonts w:ascii="Cambria" w:hAnsi="Cambria" w:eastAsia="Tahoma" w:cs="Noto Sans Devanagari"/>
      <w:color w:val="4F81BD"/>
      <w:spacing w:val="0"/>
      <w:kern w:val="0"/>
      <w:sz w:val="20"/>
      <w:szCs w:val="20"/>
      <w:lang w:val="ru-RU" w:eastAsia="zh-CN" w:bidi="hi-IN"/>
    </w:rPr>
  </w:style>
  <w:style w:type="paragraph" w:styleId="9">
    <w:name w:val="Heading 9"/>
    <w:next w:val="Normal"/>
    <w:link w:val="Style_170_ch"/>
    <w:qFormat/>
    <w:pPr>
      <w:widowControl/>
      <w:numPr>
        <w:ilvl w:val="8"/>
        <w:numId w:val="1"/>
      </w:numPr>
      <w:suppressAutoHyphens w:val="true"/>
      <w:bidi w:val="0"/>
      <w:spacing w:lineRule="auto" w:line="240" w:before="0" w:after="0"/>
      <w:ind w:left="0" w:right="0" w:hanging="0"/>
      <w:jc w:val="left"/>
      <w:outlineLvl w:val="8"/>
    </w:pPr>
    <w:rPr>
      <w:rFonts w:ascii="Cambria" w:hAnsi="Cambria" w:eastAsia="Tahoma" w:cs="Noto Sans Devanagari"/>
      <w:i/>
      <w:color w:val="404040"/>
      <w:spacing w:val="0"/>
      <w:kern w:val="0"/>
      <w:sz w:val="20"/>
      <w:szCs w:val="20"/>
      <w:lang w:val="ru-RU" w:eastAsia="zh-CN" w:bidi="hi-IN"/>
    </w:rPr>
  </w:style>
  <w:style w:type="character" w:styleId="Heading2">
    <w:name w:val="Heading 2"/>
    <w:link w:val="Style_224"/>
    <w:qFormat/>
    <w:rPr>
      <w:rFonts w:ascii="Cambria" w:hAnsi="Cambria"/>
      <w:b/>
      <w:color w:val="4F81BD"/>
      <w:sz w:val="26"/>
    </w:rPr>
  </w:style>
  <w:style w:type="character" w:styleId="WW8Num6z1">
    <w:name w:val="WW8Num6z1"/>
    <w:link w:val="Style_46"/>
    <w:qFormat/>
    <w:rPr>
      <w:rFonts w:ascii="Times New Roman" w:hAnsi="Times New Roman"/>
      <w:color w:val="000000"/>
      <w:spacing w:val="0"/>
      <w:sz w:val="20"/>
    </w:rPr>
  </w:style>
  <w:style w:type="character" w:styleId="Style5">
    <w:name w:val="Слабое выделение"/>
    <w:basedOn w:val="Style11"/>
    <w:link w:val="Style_119"/>
    <w:qFormat/>
    <w:rPr>
      <w:i/>
      <w:color w:val="808080"/>
    </w:rPr>
  </w:style>
  <w:style w:type="character" w:styleId="Style6">
    <w:name w:val="Название Знак"/>
    <w:basedOn w:val="Style11"/>
    <w:link w:val="Style_12"/>
    <w:qFormat/>
    <w:rPr>
      <w:rFonts w:ascii="Cambria" w:hAnsi="Cambria"/>
      <w:color w:val="17365D"/>
      <w:spacing w:val="5"/>
      <w:sz w:val="52"/>
    </w:rPr>
  </w:style>
  <w:style w:type="character" w:styleId="Contents2">
    <w:name w:val="Contents 2"/>
    <w:link w:val="Style_233"/>
    <w:qFormat/>
    <w:rPr/>
  </w:style>
  <w:style w:type="character" w:styleId="Style7">
    <w:name w:val="Подзаголовок Знак"/>
    <w:basedOn w:val="Style11"/>
    <w:link w:val="Style_74"/>
    <w:qFormat/>
    <w:rPr>
      <w:rFonts w:ascii="Cambria" w:hAnsi="Cambria"/>
      <w:i/>
      <w:color w:val="4F81BD"/>
      <w:spacing w:val="15"/>
      <w:sz w:val="24"/>
    </w:rPr>
  </w:style>
  <w:style w:type="character" w:styleId="Heading1">
    <w:name w:val="Heading 1"/>
    <w:link w:val="Style_21"/>
    <w:qFormat/>
    <w:rPr>
      <w:rFonts w:ascii="Cambria" w:hAnsi="Cambria"/>
      <w:b/>
      <w:color w:val="365F91"/>
      <w:spacing w:val="0"/>
      <w:sz w:val="28"/>
    </w:rPr>
  </w:style>
  <w:style w:type="character" w:styleId="WW8Num4z0">
    <w:name w:val="WW8Num4z0"/>
    <w:link w:val="Style_135"/>
    <w:qFormat/>
    <w:rPr>
      <w:rFonts w:ascii="Times New Roman" w:hAnsi="Times New Roman"/>
      <w:color w:val="000000"/>
      <w:spacing w:val="3"/>
      <w:sz w:val="24"/>
    </w:rPr>
  </w:style>
  <w:style w:type="character" w:styleId="Contents4">
    <w:name w:val="Contents 4"/>
    <w:link w:val="Style_45"/>
    <w:qFormat/>
    <w:rPr>
      <w:rFonts w:ascii="Times New Roman" w:hAnsi="Times New Roman"/>
      <w:color w:val="000000"/>
      <w:spacing w:val="0"/>
      <w:sz w:val="20"/>
    </w:rPr>
  </w:style>
  <w:style w:type="character" w:styleId="Footnote">
    <w:name w:val="Footnote"/>
    <w:link w:val="Style_130"/>
    <w:qFormat/>
    <w:rPr>
      <w:rFonts w:ascii="XO Thames" w:hAnsi="XO Thames"/>
      <w:color w:val="000000"/>
      <w:spacing w:val="0"/>
      <w:sz w:val="22"/>
    </w:rPr>
  </w:style>
  <w:style w:type="character" w:styleId="Heading7">
    <w:name w:val="Heading 7"/>
    <w:link w:val="Style_123"/>
    <w:qFormat/>
    <w:rPr>
      <w:rFonts w:ascii="Cambria" w:hAnsi="Cambria"/>
      <w:i/>
      <w:color w:val="404040"/>
    </w:rPr>
  </w:style>
  <w:style w:type="character" w:styleId="Toaheading">
    <w:name w:val="toa heading"/>
    <w:basedOn w:val="Heading1"/>
    <w:link w:val="Style_77"/>
    <w:qFormat/>
    <w:rPr/>
  </w:style>
  <w:style w:type="character" w:styleId="Style8">
    <w:name w:val="Сильное выделение"/>
    <w:basedOn w:val="Style11"/>
    <w:link w:val="Style_188"/>
    <w:qFormat/>
    <w:rPr>
      <w:b/>
      <w:i/>
      <w:color w:val="4F81BD"/>
    </w:rPr>
  </w:style>
  <w:style w:type="character" w:styleId="Contents6">
    <w:name w:val="Contents 6"/>
    <w:link w:val="Style_161"/>
    <w:qFormat/>
    <w:rPr/>
  </w:style>
  <w:style w:type="character" w:styleId="Style9">
    <w:name w:val="Название объекта"/>
    <w:link w:val="Style_157"/>
    <w:qFormat/>
    <w:rPr>
      <w:b/>
      <w:color w:val="4F81BD"/>
      <w:sz w:val="18"/>
    </w:rPr>
  </w:style>
  <w:style w:type="character" w:styleId="Contents1">
    <w:name w:val="Contents 1"/>
    <w:link w:val="Style_134"/>
    <w:qFormat/>
    <w:rPr>
      <w:rFonts w:ascii="XO Thames" w:hAnsi="XO Thames"/>
      <w:b/>
      <w:color w:val="000000"/>
      <w:spacing w:val="0"/>
      <w:sz w:val="20"/>
    </w:rPr>
  </w:style>
  <w:style w:type="character" w:styleId="Style10">
    <w:name w:val="Содержимое таблицы"/>
    <w:link w:val="Style_205"/>
    <w:qFormat/>
    <w:rPr/>
  </w:style>
  <w:style w:type="character" w:styleId="Contents7">
    <w:name w:val="Contents 7"/>
    <w:link w:val="Style_186"/>
    <w:qFormat/>
    <w:rPr>
      <w:rFonts w:ascii="Times New Roman" w:hAnsi="Times New Roman"/>
      <w:color w:val="000000"/>
      <w:spacing w:val="0"/>
      <w:sz w:val="20"/>
    </w:rPr>
  </w:style>
  <w:style w:type="character" w:styleId="Style11">
    <w:name w:val="Основной шрифт абзаца"/>
    <w:link w:val="Style_9"/>
    <w:qFormat/>
    <w:rPr>
      <w:rFonts w:ascii="Times New Roman" w:hAnsi="Times New Roman"/>
      <w:color w:val="000000"/>
      <w:spacing w:val="0"/>
      <w:sz w:val="20"/>
    </w:rPr>
  </w:style>
  <w:style w:type="character" w:styleId="WW8Num6z3">
    <w:name w:val="WW8Num6z3"/>
    <w:link w:val="Style_105"/>
    <w:qFormat/>
    <w:rPr/>
  </w:style>
  <w:style w:type="character" w:styleId="Caption">
    <w:name w:val="caption"/>
    <w:link w:val="Style_171"/>
    <w:qFormat/>
    <w:rPr>
      <w:rFonts w:ascii="PT Astra Serif" w:hAnsi="PT Astra Serif"/>
      <w:i/>
      <w:sz w:val="24"/>
    </w:rPr>
  </w:style>
  <w:style w:type="character" w:styleId="Style12">
    <w:name w:val="Абзац списка"/>
    <w:link w:val="Style_223"/>
    <w:qFormat/>
    <w:rPr>
      <w:rFonts w:ascii="Times New Roman" w:hAnsi="Times New Roman"/>
      <w:color w:val="000000"/>
      <w:spacing w:val="0"/>
      <w:sz w:val="20"/>
    </w:rPr>
  </w:style>
  <w:style w:type="character" w:styleId="List">
    <w:name w:val="List"/>
    <w:basedOn w:val="Textbody"/>
    <w:link w:val="Style_60"/>
    <w:qFormat/>
    <w:rPr>
      <w:rFonts w:ascii="PT Astra Serif" w:hAnsi="PT Astra Serif"/>
    </w:rPr>
  </w:style>
  <w:style w:type="character" w:styleId="Style13">
    <w:name w:val="Слабая ссылка"/>
    <w:basedOn w:val="Style11"/>
    <w:link w:val="Style_201"/>
    <w:qFormat/>
    <w:rPr>
      <w:smallCaps/>
      <w:color w:val="C0504D"/>
      <w:u w:val="single"/>
    </w:rPr>
  </w:style>
  <w:style w:type="character" w:styleId="WW8Num1z0">
    <w:name w:val="WW8Num1z0"/>
    <w:link w:val="Style_218"/>
    <w:qFormat/>
    <w:rPr>
      <w:rFonts w:ascii="Times New Roman" w:hAnsi="Times New Roman"/>
      <w:color w:val="000000"/>
      <w:spacing w:val="0"/>
      <w:sz w:val="20"/>
    </w:rPr>
  </w:style>
  <w:style w:type="character" w:styleId="WW8Num2z4">
    <w:name w:val="WW8Num2z4"/>
    <w:link w:val="Style_150"/>
    <w:qFormat/>
    <w:rPr/>
  </w:style>
  <w:style w:type="character" w:styleId="WW8Num5z5">
    <w:name w:val="WW8Num5z5"/>
    <w:link w:val="Style_199"/>
    <w:qFormat/>
    <w:rPr>
      <w:rFonts w:ascii="Times New Roman" w:hAnsi="Times New Roman"/>
      <w:color w:val="000000"/>
      <w:spacing w:val="0"/>
      <w:sz w:val="20"/>
    </w:rPr>
  </w:style>
  <w:style w:type="character" w:styleId="WW8Num7z0">
    <w:name w:val="WW8Num7z0"/>
    <w:link w:val="Style_81"/>
    <w:qFormat/>
    <w:rPr>
      <w:rFonts w:ascii="Times New Roman" w:hAnsi="Times New Roman"/>
      <w:spacing w:val="12"/>
      <w:sz w:val="24"/>
    </w:rPr>
  </w:style>
  <w:style w:type="character" w:styleId="WW8Num5z7">
    <w:name w:val="WW8Num5z7"/>
    <w:link w:val="Style_192"/>
    <w:qFormat/>
    <w:rPr>
      <w:rFonts w:ascii="Times New Roman" w:hAnsi="Times New Roman"/>
      <w:color w:val="000000"/>
      <w:spacing w:val="0"/>
      <w:sz w:val="20"/>
    </w:rPr>
  </w:style>
  <w:style w:type="character" w:styleId="WW8Num6z5">
    <w:name w:val="WW8Num6z5"/>
    <w:link w:val="Style_177"/>
    <w:qFormat/>
    <w:rPr>
      <w:rFonts w:ascii="Times New Roman" w:hAnsi="Times New Roman"/>
      <w:color w:val="000000"/>
      <w:spacing w:val="0"/>
      <w:sz w:val="20"/>
    </w:rPr>
  </w:style>
  <w:style w:type="character" w:styleId="Style14">
    <w:name w:val="Заголовок"/>
    <w:link w:val="Style_126"/>
    <w:qFormat/>
    <w:rPr>
      <w:rFonts w:ascii="Cambria" w:hAnsi="Cambria"/>
      <w:color w:val="17365D"/>
      <w:spacing w:val="5"/>
      <w:sz w:val="52"/>
    </w:rPr>
  </w:style>
  <w:style w:type="character" w:styleId="Style15">
    <w:name w:val="Выделение"/>
    <w:basedOn w:val="Style11"/>
    <w:link w:val="Style_116"/>
    <w:qFormat/>
    <w:rPr>
      <w:i/>
    </w:rPr>
  </w:style>
  <w:style w:type="character" w:styleId="Contents5">
    <w:name w:val="Contents 5"/>
    <w:link w:val="Style_184"/>
    <w:qFormat/>
    <w:rPr>
      <w:rFonts w:ascii="Times New Roman" w:hAnsi="Times New Roman"/>
      <w:color w:val="000000"/>
      <w:spacing w:val="0"/>
      <w:sz w:val="20"/>
    </w:rPr>
  </w:style>
  <w:style w:type="character" w:styleId="WW8Num2z3">
    <w:name w:val="WW8Num2z3"/>
    <w:link w:val="Style_136"/>
    <w:qFormat/>
    <w:rPr/>
  </w:style>
  <w:style w:type="character" w:styleId="Heading3">
    <w:name w:val="Heading 3"/>
    <w:link w:val="Style_208"/>
    <w:qFormat/>
    <w:rPr>
      <w:rFonts w:ascii="Cambria" w:hAnsi="Cambria"/>
      <w:b/>
      <w:color w:val="4F81BD"/>
    </w:rPr>
  </w:style>
  <w:style w:type="character" w:styleId="11">
    <w:name w:val="Абзац списка1"/>
    <w:link w:val="Style_89"/>
    <w:qFormat/>
    <w:rPr/>
  </w:style>
  <w:style w:type="character" w:styleId="Style16">
    <w:name w:val="Верхний и нижний колонтитулы"/>
    <w:link w:val="Style_68"/>
    <w:qFormat/>
    <w:rPr>
      <w:rFonts w:ascii="XO Thames" w:hAnsi="XO Thames"/>
      <w:color w:val="000000"/>
      <w:spacing w:val="0"/>
      <w:sz w:val="20"/>
    </w:rPr>
  </w:style>
  <w:style w:type="character" w:styleId="WW8Num1z1">
    <w:name w:val="WW8Num1z1"/>
    <w:link w:val="Style_190"/>
    <w:qFormat/>
    <w:rPr>
      <w:rFonts w:ascii="Times New Roman" w:hAnsi="Times New Roman"/>
      <w:color w:val="000000"/>
      <w:spacing w:val="0"/>
      <w:sz w:val="20"/>
    </w:rPr>
  </w:style>
  <w:style w:type="character" w:styleId="Style17">
    <w:name w:val="Указатель"/>
    <w:link w:val="Style_220"/>
    <w:qFormat/>
    <w:rPr>
      <w:rFonts w:ascii="PT Astra Serif" w:hAnsi="PT Astra Serif"/>
    </w:rPr>
  </w:style>
  <w:style w:type="character" w:styleId="WW8Num8z0">
    <w:name w:val="WW8Num8z0"/>
    <w:link w:val="Style_91"/>
    <w:qFormat/>
    <w:rPr>
      <w:rFonts w:ascii="Times New Roman" w:hAnsi="Times New Roman"/>
      <w:sz w:val="24"/>
    </w:rPr>
  </w:style>
  <w:style w:type="character" w:styleId="DefaultParagraphFont">
    <w:name w:val="Default Paragraph Font"/>
    <w:link w:val="Style_141"/>
    <w:qFormat/>
    <w:rPr>
      <w:rFonts w:ascii="Times New Roman" w:hAnsi="Times New Roman"/>
      <w:color w:val="000000"/>
      <w:spacing w:val="0"/>
      <w:sz w:val="20"/>
    </w:rPr>
  </w:style>
  <w:style w:type="character" w:styleId="Style18">
    <w:name w:val="Содержимое врезки"/>
    <w:link w:val="Style_111"/>
    <w:qFormat/>
    <w:rPr/>
  </w:style>
  <w:style w:type="character" w:styleId="WW8Num1z5">
    <w:name w:val="WW8Num1z5"/>
    <w:link w:val="Style_67"/>
    <w:qFormat/>
    <w:rPr>
      <w:rFonts w:ascii="Times New Roman" w:hAnsi="Times New Roman"/>
      <w:color w:val="000000"/>
      <w:spacing w:val="0"/>
      <w:sz w:val="20"/>
    </w:rPr>
  </w:style>
  <w:style w:type="character" w:styleId="WW8Num6z7">
    <w:name w:val="WW8Num6z7"/>
    <w:link w:val="Style_148"/>
    <w:qFormat/>
    <w:rPr/>
  </w:style>
  <w:style w:type="character" w:styleId="Style19">
    <w:name w:val="Название книги"/>
    <w:basedOn w:val="Style11"/>
    <w:link w:val="Style_225"/>
    <w:qFormat/>
    <w:rPr>
      <w:b/>
      <w:smallCaps/>
      <w:spacing w:val="5"/>
    </w:rPr>
  </w:style>
  <w:style w:type="character" w:styleId="WW8Num3z0">
    <w:name w:val="WW8Num3z0"/>
    <w:link w:val="Style_166"/>
    <w:qFormat/>
    <w:rPr>
      <w:rFonts w:ascii="Times New Roman" w:hAnsi="Times New Roman"/>
      <w:color w:val="000000"/>
      <w:spacing w:val="0"/>
      <w:sz w:val="24"/>
    </w:rPr>
  </w:style>
  <w:style w:type="character" w:styleId="Caption1">
    <w:name w:val="Caption"/>
    <w:link w:val="Style_127"/>
    <w:qFormat/>
    <w:rPr>
      <w:rFonts w:ascii="PT Astra Serif" w:hAnsi="PT Astra Serif"/>
      <w:i/>
      <w:sz w:val="24"/>
    </w:rPr>
  </w:style>
  <w:style w:type="character" w:styleId="WW8Num6z8">
    <w:name w:val="WW8Num6z8"/>
    <w:link w:val="Style_159"/>
    <w:qFormat/>
    <w:rPr>
      <w:rFonts w:ascii="Times New Roman" w:hAnsi="Times New Roman"/>
      <w:color w:val="000000"/>
      <w:spacing w:val="0"/>
      <w:sz w:val="20"/>
    </w:rPr>
  </w:style>
  <w:style w:type="character" w:styleId="WW8Num1z2">
    <w:name w:val="WW8Num1z2"/>
    <w:link w:val="Style_80"/>
    <w:qFormat/>
    <w:rPr>
      <w:rFonts w:ascii="Times New Roman" w:hAnsi="Times New Roman"/>
      <w:color w:val="000000"/>
      <w:spacing w:val="0"/>
      <w:sz w:val="20"/>
    </w:rPr>
  </w:style>
  <w:style w:type="character" w:styleId="WW8Num2z2">
    <w:name w:val="WW8Num2z2"/>
    <w:link w:val="Style_193"/>
    <w:qFormat/>
    <w:rPr/>
  </w:style>
  <w:style w:type="character" w:styleId="Contents8">
    <w:name w:val="Contents 8"/>
    <w:link w:val="Style_165"/>
    <w:qFormat/>
    <w:rPr>
      <w:rFonts w:ascii="Times New Roman" w:hAnsi="Times New Roman"/>
      <w:color w:val="000000"/>
      <w:spacing w:val="0"/>
      <w:sz w:val="20"/>
    </w:rPr>
  </w:style>
  <w:style w:type="character" w:styleId="Header">
    <w:name w:val="Header"/>
    <w:link w:val="Style_107"/>
    <w:qFormat/>
    <w:rPr/>
  </w:style>
  <w:style w:type="character" w:styleId="Heading9">
    <w:name w:val="Heading 9"/>
    <w:link w:val="Style_170"/>
    <w:qFormat/>
    <w:rPr>
      <w:rFonts w:ascii="Cambria" w:hAnsi="Cambria"/>
      <w:i/>
      <w:color w:val="404040"/>
      <w:sz w:val="20"/>
    </w:rPr>
  </w:style>
  <w:style w:type="character" w:styleId="Textbody">
    <w:name w:val="Text body"/>
    <w:link w:val="Style_33"/>
    <w:qFormat/>
    <w:rPr/>
  </w:style>
  <w:style w:type="character" w:styleId="WW8Num6z6">
    <w:name w:val="WW8Num6z6"/>
    <w:link w:val="Style_156"/>
    <w:qFormat/>
    <w:rPr>
      <w:rFonts w:ascii="Times New Roman" w:hAnsi="Times New Roman"/>
      <w:color w:val="000000"/>
      <w:spacing w:val="0"/>
      <w:sz w:val="20"/>
    </w:rPr>
  </w:style>
  <w:style w:type="character" w:styleId="WW8Num6z4">
    <w:name w:val="WW8Num6z4"/>
    <w:link w:val="Style_162"/>
    <w:qFormat/>
    <w:rPr>
      <w:rFonts w:ascii="Times New Roman" w:hAnsi="Times New Roman"/>
      <w:color w:val="000000"/>
      <w:spacing w:val="0"/>
      <w:sz w:val="20"/>
    </w:rPr>
  </w:style>
  <w:style w:type="character" w:styleId="Style20">
    <w:name w:val="Выделенная цитата"/>
    <w:link w:val="Style_97"/>
    <w:qFormat/>
    <w:rPr>
      <w:rFonts w:ascii="Times New Roman" w:hAnsi="Times New Roman"/>
      <w:b/>
      <w:i/>
      <w:color w:val="4F81BD"/>
      <w:spacing w:val="0"/>
      <w:sz w:val="20"/>
    </w:rPr>
  </w:style>
  <w:style w:type="character" w:styleId="WW8Num1z4">
    <w:name w:val="WW8Num1z4"/>
    <w:link w:val="Style_76"/>
    <w:qFormat/>
    <w:rPr/>
  </w:style>
  <w:style w:type="character" w:styleId="WW8Num1z6">
    <w:name w:val="WW8Num1z6"/>
    <w:link w:val="Style_149"/>
    <w:qFormat/>
    <w:rPr>
      <w:rFonts w:ascii="Times New Roman" w:hAnsi="Times New Roman"/>
      <w:color w:val="000000"/>
      <w:spacing w:val="0"/>
      <w:sz w:val="20"/>
    </w:rPr>
  </w:style>
  <w:style w:type="character" w:styleId="WW8Num2z1">
    <w:name w:val="WW8Num2z1"/>
    <w:link w:val="Style_203"/>
    <w:qFormat/>
    <w:rPr/>
  </w:style>
  <w:style w:type="character" w:styleId="41">
    <w:name w:val="Заголовок 4 Знак"/>
    <w:basedOn w:val="Style11"/>
    <w:link w:val="Style_113"/>
    <w:qFormat/>
    <w:rPr>
      <w:rFonts w:ascii="Cambria" w:hAnsi="Cambria"/>
      <w:b/>
      <w:i/>
      <w:color w:val="4F81BD"/>
    </w:rPr>
  </w:style>
  <w:style w:type="character" w:styleId="Standard">
    <w:name w:val="Standard"/>
    <w:link w:val="Style_124"/>
    <w:qFormat/>
    <w:rPr>
      <w:rFonts w:ascii="PT Astra Serif" w:hAnsi="PT Astra Serif"/>
      <w:color w:val="000000"/>
      <w:sz w:val="28"/>
    </w:rPr>
  </w:style>
  <w:style w:type="character" w:styleId="WW8Num1z7">
    <w:name w:val="WW8Num1z7"/>
    <w:link w:val="Style_230"/>
    <w:qFormat/>
    <w:rPr/>
  </w:style>
  <w:style w:type="character" w:styleId="WW8Num6z0">
    <w:name w:val="WW8Num6z0"/>
    <w:link w:val="Style_112"/>
    <w:qFormat/>
    <w:rPr>
      <w:rFonts w:ascii="Times New Roman" w:hAnsi="Times New Roman"/>
      <w:color w:val="000000"/>
      <w:spacing w:val="-2"/>
      <w:sz w:val="24"/>
    </w:rPr>
  </w:style>
  <w:style w:type="character" w:styleId="Style21">
    <w:name w:val="Верхний колонтитул Знак"/>
    <w:basedOn w:val="Style11"/>
    <w:link w:val="Style_197"/>
    <w:qFormat/>
    <w:rPr>
      <w:rFonts w:ascii="Times New Roman" w:hAnsi="Times New Roman"/>
      <w:sz w:val="20"/>
    </w:rPr>
  </w:style>
  <w:style w:type="character" w:styleId="Contents3">
    <w:name w:val="Contents 3"/>
    <w:link w:val="Style_164"/>
    <w:qFormat/>
    <w:rPr>
      <w:rFonts w:ascii="Times New Roman" w:hAnsi="Times New Roman"/>
      <w:color w:val="000000"/>
      <w:spacing w:val="0"/>
      <w:sz w:val="20"/>
    </w:rPr>
  </w:style>
  <w:style w:type="character" w:styleId="81">
    <w:name w:val="Заголовок 8 Знак"/>
    <w:basedOn w:val="Style11"/>
    <w:link w:val="Style_158"/>
    <w:qFormat/>
    <w:rPr>
      <w:rFonts w:ascii="Cambria" w:hAnsi="Cambria"/>
      <w:color w:val="4F81BD"/>
      <w:sz w:val="20"/>
    </w:rPr>
  </w:style>
  <w:style w:type="character" w:styleId="12">
    <w:name w:val="Заголовок 1 Знак"/>
    <w:basedOn w:val="Style11"/>
    <w:link w:val="Style_103"/>
    <w:qFormat/>
    <w:rPr>
      <w:rFonts w:ascii="Cambria" w:hAnsi="Cambria"/>
      <w:b/>
      <w:color w:val="365F91"/>
      <w:sz w:val="28"/>
    </w:rPr>
  </w:style>
  <w:style w:type="character" w:styleId="Footer">
    <w:name w:val="Footer"/>
    <w:basedOn w:val="Style16"/>
    <w:link w:val="Style_196"/>
    <w:qFormat/>
    <w:rPr/>
  </w:style>
  <w:style w:type="character" w:styleId="Strong">
    <w:name w:val="Strong"/>
    <w:basedOn w:val="Style11"/>
    <w:link w:val="Style_102"/>
    <w:qFormat/>
    <w:rPr>
      <w:b/>
    </w:rPr>
  </w:style>
  <w:style w:type="character" w:styleId="Heading8">
    <w:name w:val="Heading 8"/>
    <w:link w:val="Style_132"/>
    <w:qFormat/>
    <w:rPr>
      <w:rFonts w:ascii="Cambria" w:hAnsi="Cambria"/>
      <w:color w:val="4F81BD"/>
      <w:spacing w:val="0"/>
      <w:sz w:val="20"/>
    </w:rPr>
  </w:style>
  <w:style w:type="character" w:styleId="Style22">
    <w:name w:val="Без интервала"/>
    <w:link w:val="Style_3"/>
    <w:qFormat/>
    <w:rPr>
      <w:rFonts w:ascii="Calibri" w:hAnsi="Calibri"/>
      <w:color w:val="000000"/>
      <w:spacing w:val="0"/>
      <w:sz w:val="22"/>
    </w:rPr>
  </w:style>
  <w:style w:type="character" w:styleId="51">
    <w:name w:val="Заголовок 5 Знак"/>
    <w:basedOn w:val="Style11"/>
    <w:link w:val="Style_209"/>
    <w:qFormat/>
    <w:rPr>
      <w:rFonts w:ascii="Cambria" w:hAnsi="Cambria"/>
      <w:color w:val="243F60"/>
    </w:rPr>
  </w:style>
  <w:style w:type="character" w:styleId="21">
    <w:name w:val="Заголовок 2 Знак"/>
    <w:basedOn w:val="Style11"/>
    <w:link w:val="Style_145"/>
    <w:qFormat/>
    <w:rPr>
      <w:rFonts w:ascii="Cambria" w:hAnsi="Cambria"/>
      <w:b/>
      <w:color w:val="4F81BD"/>
      <w:sz w:val="26"/>
    </w:rPr>
  </w:style>
  <w:style w:type="character" w:styleId="WW8Num5z6">
    <w:name w:val="WW8Num5z6"/>
    <w:link w:val="Style_221"/>
    <w:qFormat/>
    <w:rPr>
      <w:rFonts w:ascii="Times New Roman" w:hAnsi="Times New Roman"/>
      <w:color w:val="000000"/>
      <w:spacing w:val="0"/>
      <w:sz w:val="20"/>
    </w:rPr>
  </w:style>
  <w:style w:type="character" w:styleId="WW8Num5z8">
    <w:name w:val="WW8Num5z8"/>
    <w:link w:val="Style_207"/>
    <w:qFormat/>
    <w:rPr/>
  </w:style>
  <w:style w:type="character" w:styleId="31">
    <w:name w:val="Заголовок 3 Знак"/>
    <w:basedOn w:val="Style11"/>
    <w:link w:val="Style_226"/>
    <w:qFormat/>
    <w:rPr>
      <w:rFonts w:ascii="Cambria" w:hAnsi="Cambria"/>
      <w:b/>
      <w:color w:val="4F81BD"/>
    </w:rPr>
  </w:style>
  <w:style w:type="character" w:styleId="WW8Num2z0">
    <w:name w:val="WW8Num2z0"/>
    <w:link w:val="Style_183"/>
    <w:qFormat/>
    <w:rPr>
      <w:rFonts w:ascii="Times New Roman" w:hAnsi="Times New Roman"/>
      <w:spacing w:val="-1"/>
      <w:sz w:val="24"/>
    </w:rPr>
  </w:style>
  <w:style w:type="character" w:styleId="91">
    <w:name w:val="Заголовок 9 Знак"/>
    <w:basedOn w:val="Style11"/>
    <w:link w:val="Style_155"/>
    <w:qFormat/>
    <w:rPr>
      <w:rFonts w:ascii="Cambria" w:hAnsi="Cambria"/>
      <w:i/>
      <w:color w:val="404040"/>
      <w:sz w:val="20"/>
    </w:rPr>
  </w:style>
  <w:style w:type="character" w:styleId="22">
    <w:name w:val="Цитата 2 Знак"/>
    <w:basedOn w:val="Style11"/>
    <w:link w:val="Style_222"/>
    <w:qFormat/>
    <w:rPr>
      <w:i/>
      <w:color w:val="000000"/>
    </w:rPr>
  </w:style>
  <w:style w:type="character" w:styleId="71">
    <w:name w:val="Заголовок 7 Знак"/>
    <w:basedOn w:val="Style11"/>
    <w:link w:val="Style_169"/>
    <w:qFormat/>
    <w:rPr>
      <w:rFonts w:ascii="Cambria" w:hAnsi="Cambria"/>
      <w:i/>
      <w:color w:val="404040"/>
    </w:rPr>
  </w:style>
  <w:style w:type="character" w:styleId="WW8Num5z4">
    <w:name w:val="WW8Num5z4"/>
    <w:link w:val="Style_178"/>
    <w:qFormat/>
    <w:rPr>
      <w:rFonts w:ascii="Times New Roman" w:hAnsi="Times New Roman"/>
      <w:color w:val="000000"/>
      <w:spacing w:val="0"/>
      <w:sz w:val="20"/>
    </w:rPr>
  </w:style>
  <w:style w:type="character" w:styleId="Heading5">
    <w:name w:val="Heading 5"/>
    <w:link w:val="Style_128"/>
    <w:qFormat/>
    <w:rPr>
      <w:rFonts w:ascii="Cambria" w:hAnsi="Cambria"/>
      <w:color w:val="243F60"/>
    </w:rPr>
  </w:style>
  <w:style w:type="character" w:styleId="23">
    <w:name w:val="Цитата 2"/>
    <w:link w:val="Style_174"/>
    <w:qFormat/>
    <w:rPr>
      <w:i/>
      <w:color w:val="000000"/>
    </w:rPr>
  </w:style>
  <w:style w:type="character" w:styleId="WW8Num8z1">
    <w:name w:val="WW8Num8z1"/>
    <w:link w:val="Style_212"/>
    <w:qFormat/>
    <w:rPr/>
  </w:style>
  <w:style w:type="character" w:styleId="WW8Num2z7">
    <w:name w:val="WW8Num2z7"/>
    <w:link w:val="Style_167"/>
    <w:qFormat/>
    <w:rPr>
      <w:rFonts w:ascii="Times New Roman" w:hAnsi="Times New Roman"/>
      <w:color w:val="000000"/>
      <w:spacing w:val="0"/>
      <w:sz w:val="20"/>
    </w:rPr>
  </w:style>
  <w:style w:type="character" w:styleId="Indexheading">
    <w:name w:val="index heading"/>
    <w:basedOn w:val="Style14"/>
    <w:link w:val="Style_138"/>
    <w:qFormat/>
    <w:rPr>
      <w:b/>
      <w:sz w:val="32"/>
    </w:rPr>
  </w:style>
  <w:style w:type="character" w:styleId="Style23">
    <w:name w:val="Интернет-ссылка"/>
    <w:link w:val="Style_172"/>
    <w:rPr>
      <w:color w:val="0000FF"/>
      <w:u w:val="single"/>
    </w:rPr>
  </w:style>
  <w:style w:type="character" w:styleId="WW8Num5z0">
    <w:name w:val="WW8Num5z0"/>
    <w:link w:val="Style_180"/>
    <w:qFormat/>
    <w:rPr>
      <w:rFonts w:ascii="Times New Roman" w:hAnsi="Times New Roman"/>
      <w:color w:val="000000"/>
      <w:spacing w:val="0"/>
      <w:sz w:val="20"/>
    </w:rPr>
  </w:style>
  <w:style w:type="character" w:styleId="Style24">
    <w:name w:val="Заголовок таблицы"/>
    <w:basedOn w:val="Style10"/>
    <w:link w:val="Style_204"/>
    <w:qFormat/>
    <w:rPr>
      <w:b/>
    </w:rPr>
  </w:style>
  <w:style w:type="character" w:styleId="WW8Num6z2">
    <w:name w:val="WW8Num6z2"/>
    <w:link w:val="Style_176"/>
    <w:qFormat/>
    <w:rPr>
      <w:rFonts w:ascii="Times New Roman" w:hAnsi="Times New Roman"/>
      <w:color w:val="000000"/>
      <w:spacing w:val="0"/>
      <w:sz w:val="20"/>
    </w:rPr>
  </w:style>
  <w:style w:type="character" w:styleId="HeaderandFooter">
    <w:name w:val="Header and Footer"/>
    <w:link w:val="Style_140"/>
    <w:qFormat/>
    <w:rPr>
      <w:rFonts w:ascii="XO Thames" w:hAnsi="XO Thames"/>
      <w:sz w:val="20"/>
    </w:rPr>
  </w:style>
  <w:style w:type="character" w:styleId="WW8Num5z1">
    <w:name w:val="WW8Num5z1"/>
    <w:link w:val="Style_189"/>
    <w:qFormat/>
    <w:rPr>
      <w:rFonts w:ascii="Times New Roman" w:hAnsi="Times New Roman"/>
      <w:color w:val="000000"/>
      <w:spacing w:val="0"/>
      <w:sz w:val="20"/>
    </w:rPr>
  </w:style>
  <w:style w:type="character" w:styleId="Heading4">
    <w:name w:val="Heading 4"/>
    <w:link w:val="Style_217"/>
    <w:qFormat/>
    <w:rPr>
      <w:rFonts w:ascii="Cambria" w:hAnsi="Cambria"/>
      <w:b/>
      <w:i/>
      <w:color w:val="4F81BD"/>
    </w:rPr>
  </w:style>
  <w:style w:type="character" w:styleId="61">
    <w:name w:val="Заголовок 6 Знак"/>
    <w:basedOn w:val="Style11"/>
    <w:link w:val="Style_181"/>
    <w:qFormat/>
    <w:rPr>
      <w:rFonts w:ascii="Cambria" w:hAnsi="Cambria"/>
      <w:i/>
      <w:color w:val="243F60"/>
    </w:rPr>
  </w:style>
  <w:style w:type="character" w:styleId="Style25">
    <w:name w:val="Выделенная цитата Знак"/>
    <w:basedOn w:val="Style11"/>
    <w:link w:val="Style_228"/>
    <w:qFormat/>
    <w:rPr>
      <w:b/>
      <w:i/>
      <w:color w:val="4F81BD"/>
    </w:rPr>
  </w:style>
  <w:style w:type="character" w:styleId="WW8Num1z3">
    <w:name w:val="WW8Num1z3"/>
    <w:link w:val="Style_160"/>
    <w:qFormat/>
    <w:rPr>
      <w:rFonts w:ascii="Times New Roman" w:hAnsi="Times New Roman"/>
      <w:color w:val="000000"/>
      <w:spacing w:val="0"/>
      <w:sz w:val="20"/>
    </w:rPr>
  </w:style>
  <w:style w:type="character" w:styleId="WW8Num2z6">
    <w:name w:val="WW8Num2z6"/>
    <w:link w:val="Style_187"/>
    <w:qFormat/>
    <w:rPr>
      <w:rFonts w:ascii="Times New Roman" w:hAnsi="Times New Roman"/>
      <w:color w:val="000000"/>
      <w:spacing w:val="0"/>
      <w:sz w:val="20"/>
    </w:rPr>
  </w:style>
  <w:style w:type="character" w:styleId="Contents9">
    <w:name w:val="Contents 9"/>
    <w:link w:val="Style_232"/>
    <w:qFormat/>
    <w:rPr>
      <w:rFonts w:ascii="Times New Roman" w:hAnsi="Times New Roman"/>
      <w:color w:val="000000"/>
      <w:spacing w:val="0"/>
      <w:sz w:val="20"/>
    </w:rPr>
  </w:style>
  <w:style w:type="character" w:styleId="WW8Num7z1">
    <w:name w:val="WW8Num7z1"/>
    <w:link w:val="Style_227"/>
    <w:qFormat/>
    <w:rPr>
      <w:rFonts w:ascii="Times New Roman" w:hAnsi="Times New Roman"/>
      <w:color w:val="000000"/>
      <w:spacing w:val="0"/>
      <w:sz w:val="20"/>
    </w:rPr>
  </w:style>
  <w:style w:type="character" w:styleId="WW8Num1z8">
    <w:name w:val="WW8Num1z8"/>
    <w:link w:val="Style_179"/>
    <w:qFormat/>
    <w:rPr>
      <w:rFonts w:ascii="Times New Roman" w:hAnsi="Times New Roman"/>
      <w:color w:val="000000"/>
      <w:spacing w:val="0"/>
      <w:sz w:val="20"/>
    </w:rPr>
  </w:style>
  <w:style w:type="character" w:styleId="Title">
    <w:name w:val="Title"/>
    <w:link w:val="Style_216"/>
    <w:qFormat/>
    <w:rPr>
      <w:rFonts w:ascii="XO Thames" w:hAnsi="XO Thames"/>
      <w:b/>
      <w:color w:val="000000"/>
      <w:spacing w:val="0"/>
      <w:sz w:val="52"/>
    </w:rPr>
  </w:style>
  <w:style w:type="character" w:styleId="WW8Num2z8">
    <w:name w:val="WW8Num2z8"/>
    <w:link w:val="Style_191"/>
    <w:qFormat/>
    <w:rPr>
      <w:rFonts w:ascii="Times New Roman" w:hAnsi="Times New Roman"/>
      <w:color w:val="000000"/>
      <w:spacing w:val="0"/>
      <w:sz w:val="20"/>
    </w:rPr>
  </w:style>
  <w:style w:type="character" w:styleId="Heading6">
    <w:name w:val="Heading 6"/>
    <w:link w:val="Style_231"/>
    <w:qFormat/>
    <w:rPr>
      <w:rFonts w:ascii="Cambria" w:hAnsi="Cambria"/>
      <w:i/>
      <w:color w:val="243F60"/>
    </w:rPr>
  </w:style>
  <w:style w:type="character" w:styleId="WW8Num2z5">
    <w:name w:val="WW8Num2z5"/>
    <w:link w:val="Style_215"/>
    <w:qFormat/>
    <w:rPr>
      <w:rFonts w:ascii="Times New Roman" w:hAnsi="Times New Roman"/>
      <w:color w:val="000000"/>
      <w:spacing w:val="0"/>
      <w:sz w:val="20"/>
    </w:rPr>
  </w:style>
  <w:style w:type="character" w:styleId="Style26">
    <w:name w:val="Сильная ссылка"/>
    <w:basedOn w:val="Style11"/>
    <w:link w:val="Style_219"/>
    <w:qFormat/>
    <w:rPr>
      <w:b/>
      <w:smallCaps/>
      <w:color w:val="C0504D"/>
      <w:spacing w:val="5"/>
      <w:u w:val="single"/>
    </w:rPr>
  </w:style>
  <w:style w:type="character" w:styleId="Subtitle">
    <w:name w:val="Subtitle"/>
    <w:link w:val="Style_206"/>
    <w:qFormat/>
    <w:rPr>
      <w:rFonts w:ascii="Cambria" w:hAnsi="Cambria"/>
      <w:i/>
      <w:color w:val="4F81BD"/>
      <w:spacing w:val="15"/>
      <w:sz w:val="24"/>
    </w:rPr>
  </w:style>
  <w:style w:type="character" w:styleId="WW8Num5z2">
    <w:name w:val="WW8Num5z2"/>
    <w:link w:val="Style_210"/>
    <w:qFormat/>
    <w:rPr>
      <w:rFonts w:ascii="Times New Roman" w:hAnsi="Times New Roman"/>
      <w:color w:val="000000"/>
      <w:spacing w:val="0"/>
      <w:sz w:val="20"/>
    </w:rPr>
  </w:style>
  <w:style w:type="character" w:styleId="Toc10">
    <w:name w:val="toc 10"/>
    <w:link w:val="Style_214"/>
    <w:qFormat/>
    <w:rPr>
      <w:rFonts w:ascii="Times New Roman" w:hAnsi="Times New Roman"/>
      <w:color w:val="000000"/>
      <w:spacing w:val="0"/>
      <w:sz w:val="20"/>
    </w:rPr>
  </w:style>
  <w:style w:type="character" w:styleId="WW8Num5z3">
    <w:name w:val="WW8Num5z3"/>
    <w:link w:val="Style_229"/>
    <w:qFormat/>
    <w:rPr>
      <w:rFonts w:ascii="Times New Roman" w:hAnsi="Times New Roman"/>
      <w:color w:val="000000"/>
      <w:spacing w:val="0"/>
      <w:sz w:val="20"/>
    </w:rPr>
  </w:style>
  <w:style w:type="paragraph" w:styleId="Style27">
    <w:name w:val="Заголовок"/>
    <w:next w:val="Normal"/>
    <w:link w:val="Style_12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mbria" w:hAnsi="Cambria" w:eastAsia="Tahoma" w:cs="Noto Sans Devanagari"/>
      <w:color w:val="17365D"/>
      <w:spacing w:val="5"/>
      <w:kern w:val="0"/>
      <w:sz w:val="52"/>
      <w:szCs w:val="20"/>
      <w:lang w:val="ru-RU" w:eastAsia="zh-CN" w:bidi="hi-IN"/>
    </w:rPr>
  </w:style>
  <w:style w:type="paragraph" w:styleId="Style28">
    <w:name w:val="Body Text"/>
    <w:basedOn w:val="Normal"/>
    <w:link w:val="Style_70_ch"/>
    <w:pPr>
      <w:spacing w:lineRule="auto" w:line="276" w:before="0" w:after="140"/>
    </w:pPr>
    <w:rPr/>
  </w:style>
  <w:style w:type="paragraph" w:styleId="Style29">
    <w:name w:val="List"/>
    <w:basedOn w:val="Textbody1"/>
    <w:link w:val="Style_60_ch"/>
    <w:pPr/>
    <w:rPr>
      <w:rFonts w:ascii="PT Astra Serif" w:hAnsi="PT Astra Serif"/>
    </w:rPr>
  </w:style>
  <w:style w:type="paragraph" w:styleId="Style30">
    <w:name w:val="Caption"/>
    <w:basedOn w:val="Normal"/>
    <w:link w:val="Style_127_ch"/>
    <w:qFormat/>
    <w:pPr>
      <w:spacing w:before="120" w:after="120"/>
    </w:pPr>
    <w:rPr>
      <w:rFonts w:ascii="PT Astra Serif" w:hAnsi="PT Astra Serif"/>
      <w:i/>
      <w:sz w:val="24"/>
    </w:rPr>
  </w:style>
  <w:style w:type="paragraph" w:styleId="Style31">
    <w:name w:val="Указатель"/>
    <w:basedOn w:val="Normal"/>
    <w:link w:val="Style_220_ch"/>
    <w:qFormat/>
    <w:pPr/>
    <w:rPr>
      <w:rFonts w:ascii="PT Astra Serif" w:hAnsi="PT Astra Serif"/>
    </w:rPr>
  </w:style>
  <w:style w:type="paragraph" w:styleId="WW8Num6z11">
    <w:name w:val="WW8Num6z1"/>
    <w:link w:val="Style_4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Слабое выделение"/>
    <w:basedOn w:val="Style38"/>
    <w:link w:val="Style_119_ch"/>
    <w:qFormat/>
    <w:pPr/>
    <w:rPr>
      <w:i/>
      <w:color w:val="808080"/>
    </w:rPr>
  </w:style>
  <w:style w:type="paragraph" w:styleId="Style33">
    <w:name w:val="Название Знак"/>
    <w:basedOn w:val="Style38"/>
    <w:link w:val="Style_12_ch"/>
    <w:qFormat/>
    <w:pPr/>
    <w:rPr>
      <w:rFonts w:ascii="Cambria" w:hAnsi="Cambria"/>
      <w:color w:val="17365D"/>
      <w:spacing w:val="5"/>
      <w:sz w:val="52"/>
    </w:rPr>
  </w:style>
  <w:style w:type="paragraph" w:styleId="24">
    <w:name w:val="TOC 2"/>
    <w:next w:val="Normal"/>
    <w:link w:val="Style_13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Подзаголовок Знак"/>
    <w:basedOn w:val="Style38"/>
    <w:link w:val="Style_74_ch"/>
    <w:qFormat/>
    <w:pPr/>
    <w:rPr>
      <w:rFonts w:ascii="Cambria" w:hAnsi="Cambria"/>
      <w:i/>
      <w:color w:val="4F81BD"/>
      <w:spacing w:val="15"/>
      <w:sz w:val="24"/>
    </w:rPr>
  </w:style>
  <w:style w:type="paragraph" w:styleId="WW8Num4z01">
    <w:name w:val="WW8Num4z0"/>
    <w:link w:val="Style_13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3"/>
      <w:kern w:val="0"/>
      <w:sz w:val="24"/>
      <w:szCs w:val="20"/>
      <w:lang w:val="ru-RU" w:eastAsia="zh-CN" w:bidi="hi-IN"/>
    </w:rPr>
  </w:style>
  <w:style w:type="paragraph" w:styleId="42">
    <w:name w:val="TOC 4"/>
    <w:next w:val="Normal"/>
    <w:link w:val="Style_17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1">
    <w:name w:val="Footnote"/>
    <w:link w:val="Style_13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Toaheading1">
    <w:name w:val="toa heading"/>
    <w:basedOn w:val="1"/>
    <w:next w:val="Normal"/>
    <w:link w:val="Style_77_ch"/>
    <w:qFormat/>
    <w:pPr>
      <w:numPr>
        <w:ilvl w:val="0"/>
        <w:numId w:val="0"/>
      </w:numPr>
      <w:ind w:left="0" w:right="0" w:hanging="0"/>
    </w:pPr>
    <w:rPr/>
  </w:style>
  <w:style w:type="paragraph" w:styleId="Style35">
    <w:name w:val="Сильное выделение"/>
    <w:basedOn w:val="Style38"/>
    <w:link w:val="Style_188_ch"/>
    <w:qFormat/>
    <w:pPr/>
    <w:rPr>
      <w:b/>
      <w:i/>
      <w:color w:val="4F81BD"/>
    </w:rPr>
  </w:style>
  <w:style w:type="paragraph" w:styleId="62">
    <w:name w:val="TOC 6"/>
    <w:next w:val="Normal"/>
    <w:link w:val="Style_23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6">
    <w:name w:val="Название объекта"/>
    <w:next w:val="Normal"/>
    <w:link w:val="Style_15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4F81BD"/>
      <w:spacing w:val="0"/>
      <w:kern w:val="0"/>
      <w:sz w:val="18"/>
      <w:szCs w:val="20"/>
      <w:lang w:val="ru-RU" w:eastAsia="zh-CN" w:bidi="hi-IN"/>
    </w:rPr>
  </w:style>
  <w:style w:type="paragraph" w:styleId="Contents41">
    <w:name w:val="Contents 4"/>
    <w:link w:val="Style_4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11">
    <w:name w:val="Contents 1"/>
    <w:link w:val="Style_5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7">
    <w:name w:val="Содержимое таблицы"/>
    <w:link w:val="Style_20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72">
    <w:name w:val="TOC 7"/>
    <w:next w:val="Normal"/>
    <w:link w:val="Style_28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8">
    <w:name w:val="Основной шрифт абзаца"/>
    <w:link w:val="Style_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31">
    <w:name w:val="WW8Num6z3"/>
    <w:link w:val="Style_10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link w:val="Style_17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i/>
      <w:color w:val="000000"/>
      <w:spacing w:val="0"/>
      <w:kern w:val="0"/>
      <w:sz w:val="24"/>
      <w:szCs w:val="20"/>
      <w:lang w:val="ru-RU" w:eastAsia="zh-CN" w:bidi="hi-IN"/>
    </w:rPr>
  </w:style>
  <w:style w:type="paragraph" w:styleId="Style39">
    <w:name w:val="Абзац списка"/>
    <w:link w:val="Style_22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0">
    <w:name w:val="Слабая ссылка"/>
    <w:basedOn w:val="Style38"/>
    <w:link w:val="Style_201_ch"/>
    <w:qFormat/>
    <w:pPr/>
    <w:rPr>
      <w:smallCaps/>
      <w:color w:val="C0504D"/>
      <w:u w:val="single"/>
    </w:rPr>
  </w:style>
  <w:style w:type="paragraph" w:styleId="WW8Num1z01">
    <w:name w:val="WW8Num1z0"/>
    <w:link w:val="Style_21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link w:val="Style_15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51">
    <w:name w:val="WW8Num5z5"/>
    <w:link w:val="Style_19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7z01">
    <w:name w:val="WW8Num7z0"/>
    <w:link w:val="Style_8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12"/>
      <w:kern w:val="0"/>
      <w:sz w:val="24"/>
      <w:szCs w:val="20"/>
      <w:lang w:val="ru-RU" w:eastAsia="zh-CN" w:bidi="hi-IN"/>
    </w:rPr>
  </w:style>
  <w:style w:type="paragraph" w:styleId="WW8Num5z71">
    <w:name w:val="WW8Num5z7"/>
    <w:link w:val="Style_19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51">
    <w:name w:val="WW8Num6z5"/>
    <w:link w:val="Style_17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1">
    <w:name w:val="Выделение"/>
    <w:basedOn w:val="Style38"/>
    <w:link w:val="Style_116_ch"/>
    <w:qFormat/>
    <w:pPr/>
    <w:rPr>
      <w:i/>
    </w:rPr>
  </w:style>
  <w:style w:type="paragraph" w:styleId="Contents51">
    <w:name w:val="Contents 5"/>
    <w:link w:val="Style_10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31">
    <w:name w:val="WW8Num2z3"/>
    <w:link w:val="Style_13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3">
    <w:name w:val="Абзац списка1"/>
    <w:link w:val="Style_8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2">
    <w:name w:val="Верхний и нижний колонтитулы"/>
    <w:link w:val="Style_14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link w:val="Style_19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01">
    <w:name w:val="WW8Num8z0"/>
    <w:link w:val="Style_9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DefaultParagraphFont1">
    <w:name w:val="Default Paragraph Font"/>
    <w:link w:val="Style_1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3">
    <w:name w:val="Содержимое врезки"/>
    <w:basedOn w:val="Normal"/>
    <w:link w:val="Style_111_ch"/>
    <w:qFormat/>
    <w:pPr/>
    <w:rPr/>
  </w:style>
  <w:style w:type="paragraph" w:styleId="WW8Num1z51">
    <w:name w:val="WW8Num1z5"/>
    <w:link w:val="Style_6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71">
    <w:name w:val="WW8Num6z7"/>
    <w:link w:val="Style_14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4">
    <w:name w:val="Название книги"/>
    <w:basedOn w:val="Style38"/>
    <w:link w:val="Style_225_ch"/>
    <w:qFormat/>
    <w:pPr/>
    <w:rPr>
      <w:b/>
      <w:smallCaps/>
      <w:spacing w:val="5"/>
    </w:rPr>
  </w:style>
  <w:style w:type="paragraph" w:styleId="WW8Num3z01">
    <w:name w:val="WW8Num3z0"/>
    <w:link w:val="Style_16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WW8Num6z81">
    <w:name w:val="WW8Num6z8"/>
    <w:link w:val="Style_15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"/>
    <w:link w:val="Style_8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link w:val="Style_19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81">
    <w:name w:val="Contents 8"/>
    <w:link w:val="Style_11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71">
    <w:name w:val="Contents 7"/>
    <w:link w:val="Style_18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5">
    <w:name w:val="Header"/>
    <w:link w:val="Style_107_ch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61">
    <w:name w:val="WW8Num6z6"/>
    <w:link w:val="Style_15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41">
    <w:name w:val="WW8Num6z4"/>
    <w:link w:val="Style_16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6">
    <w:name w:val="Выделенная цитата"/>
    <w:next w:val="Normal"/>
    <w:link w:val="Style_9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i/>
      <w:color w:val="4F81BD"/>
      <w:spacing w:val="0"/>
      <w:kern w:val="0"/>
      <w:sz w:val="20"/>
      <w:szCs w:val="20"/>
      <w:lang w:val="ru-RU" w:eastAsia="zh-CN" w:bidi="hi-IN"/>
    </w:rPr>
  </w:style>
  <w:style w:type="paragraph" w:styleId="WW8Num1z41">
    <w:name w:val="WW8Num1z4"/>
    <w:link w:val="Style_7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61">
    <w:name w:val="WW8Num1z6"/>
    <w:link w:val="Style_14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11">
    <w:name w:val="WW8Num2z1"/>
    <w:link w:val="Style_20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3">
    <w:name w:val="Заголовок 4 Знак"/>
    <w:basedOn w:val="Style38"/>
    <w:link w:val="Style_113_ch"/>
    <w:qFormat/>
    <w:pPr/>
    <w:rPr>
      <w:rFonts w:ascii="Cambria" w:hAnsi="Cambria"/>
      <w:b/>
      <w:i/>
      <w:color w:val="4F81BD"/>
    </w:rPr>
  </w:style>
  <w:style w:type="paragraph" w:styleId="Standard1">
    <w:name w:val="Standard"/>
    <w:link w:val="Style_12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WW8Num1z71">
    <w:name w:val="WW8Num1z7"/>
    <w:link w:val="Style_23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01">
    <w:name w:val="WW8Num6z0"/>
    <w:link w:val="Style_11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-2"/>
      <w:kern w:val="0"/>
      <w:sz w:val="24"/>
      <w:szCs w:val="20"/>
      <w:lang w:val="ru-RU" w:eastAsia="zh-CN" w:bidi="hi-IN"/>
    </w:rPr>
  </w:style>
  <w:style w:type="paragraph" w:styleId="Style47">
    <w:name w:val="Верхний колонтитул Знак"/>
    <w:basedOn w:val="Style38"/>
    <w:link w:val="Style_197_ch"/>
    <w:qFormat/>
    <w:pPr/>
    <w:rPr>
      <w:rFonts w:ascii="Times New Roman" w:hAnsi="Times New Roman"/>
      <w:sz w:val="20"/>
    </w:rPr>
  </w:style>
  <w:style w:type="paragraph" w:styleId="32">
    <w:name w:val="TOC 3"/>
    <w:next w:val="Normal"/>
    <w:link w:val="Style_87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82">
    <w:name w:val="Заголовок 8 Знак"/>
    <w:basedOn w:val="Style38"/>
    <w:link w:val="Style_158_ch"/>
    <w:qFormat/>
    <w:pPr/>
    <w:rPr>
      <w:rFonts w:ascii="Cambria" w:hAnsi="Cambria"/>
      <w:color w:val="4F81BD"/>
      <w:sz w:val="20"/>
    </w:rPr>
  </w:style>
  <w:style w:type="paragraph" w:styleId="14">
    <w:name w:val="Заголовок 1 Знак"/>
    <w:basedOn w:val="Style38"/>
    <w:link w:val="Style_103_ch"/>
    <w:qFormat/>
    <w:pPr/>
    <w:rPr>
      <w:rFonts w:ascii="Cambria" w:hAnsi="Cambria"/>
      <w:b/>
      <w:color w:val="365F91"/>
      <w:sz w:val="28"/>
    </w:rPr>
  </w:style>
  <w:style w:type="paragraph" w:styleId="Textbody1">
    <w:name w:val="Text body"/>
    <w:link w:val="Style_3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8">
    <w:name w:val="Footer"/>
    <w:basedOn w:val="Style42"/>
    <w:link w:val="Style_196_ch"/>
    <w:pPr/>
    <w:rPr/>
  </w:style>
  <w:style w:type="paragraph" w:styleId="Strong1">
    <w:name w:val="Strong"/>
    <w:basedOn w:val="Style38"/>
    <w:link w:val="Style_102_ch"/>
    <w:qFormat/>
    <w:pPr/>
    <w:rPr>
      <w:b/>
    </w:rPr>
  </w:style>
  <w:style w:type="paragraph" w:styleId="Style49">
    <w:name w:val="Без интервала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Emphasis">
    <w:name w:val="Emphasis"/>
    <w:basedOn w:val="Style38"/>
    <w:link w:val="Style_96_ch"/>
    <w:qFormat/>
    <w:pPr/>
    <w:rPr>
      <w:i/>
    </w:rPr>
  </w:style>
  <w:style w:type="paragraph" w:styleId="52">
    <w:name w:val="Заголовок 5 Знак"/>
    <w:basedOn w:val="Style38"/>
    <w:link w:val="Style_209_ch"/>
    <w:qFormat/>
    <w:pPr/>
    <w:rPr>
      <w:rFonts w:ascii="Cambria" w:hAnsi="Cambria"/>
      <w:color w:val="243F60"/>
    </w:rPr>
  </w:style>
  <w:style w:type="paragraph" w:styleId="25">
    <w:name w:val="Заголовок 2 Знак"/>
    <w:basedOn w:val="Style38"/>
    <w:link w:val="Style_145_ch"/>
    <w:qFormat/>
    <w:pPr/>
    <w:rPr>
      <w:rFonts w:ascii="Cambria" w:hAnsi="Cambria"/>
      <w:b/>
      <w:color w:val="4F81BD"/>
      <w:sz w:val="26"/>
    </w:rPr>
  </w:style>
  <w:style w:type="paragraph" w:styleId="WW8Num5z61">
    <w:name w:val="WW8Num5z6"/>
    <w:link w:val="Style_2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81">
    <w:name w:val="WW8Num5z8"/>
    <w:link w:val="Style_20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3">
    <w:name w:val="Заголовок 3 Знак"/>
    <w:basedOn w:val="Style38"/>
    <w:link w:val="Style_226_ch"/>
    <w:qFormat/>
    <w:pPr/>
    <w:rPr>
      <w:rFonts w:ascii="Cambria" w:hAnsi="Cambria"/>
      <w:b/>
      <w:color w:val="4F81BD"/>
    </w:rPr>
  </w:style>
  <w:style w:type="paragraph" w:styleId="WW8Num2z01">
    <w:name w:val="WW8Num2z0"/>
    <w:link w:val="Style_18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-1"/>
      <w:kern w:val="0"/>
      <w:sz w:val="24"/>
      <w:szCs w:val="20"/>
      <w:lang w:val="ru-RU" w:eastAsia="zh-CN" w:bidi="hi-IN"/>
    </w:rPr>
  </w:style>
  <w:style w:type="paragraph" w:styleId="92">
    <w:name w:val="Заголовок 9 Знак"/>
    <w:basedOn w:val="Style38"/>
    <w:link w:val="Style_155_ch"/>
    <w:qFormat/>
    <w:pPr/>
    <w:rPr>
      <w:rFonts w:ascii="Cambria" w:hAnsi="Cambria"/>
      <w:i/>
      <w:color w:val="404040"/>
      <w:sz w:val="20"/>
    </w:rPr>
  </w:style>
  <w:style w:type="paragraph" w:styleId="26">
    <w:name w:val="Цитата 2 Знак"/>
    <w:basedOn w:val="Style38"/>
    <w:link w:val="Style_222_ch"/>
    <w:qFormat/>
    <w:pPr/>
    <w:rPr>
      <w:i/>
      <w:color w:val="000000"/>
    </w:rPr>
  </w:style>
  <w:style w:type="paragraph" w:styleId="73">
    <w:name w:val="Заголовок 7 Знак"/>
    <w:basedOn w:val="Style38"/>
    <w:link w:val="Style_169_ch"/>
    <w:qFormat/>
    <w:pPr/>
    <w:rPr>
      <w:rFonts w:ascii="Cambria" w:hAnsi="Cambria"/>
      <w:i/>
      <w:color w:val="404040"/>
    </w:rPr>
  </w:style>
  <w:style w:type="paragraph" w:styleId="WW8Num5z41">
    <w:name w:val="WW8Num5z4"/>
    <w:link w:val="Style_17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7">
    <w:name w:val="Цитата 2"/>
    <w:next w:val="Normal"/>
    <w:link w:val="Style_17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11">
    <w:name w:val="WW8Num8z1"/>
    <w:link w:val="Style_21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71">
    <w:name w:val="WW8Num2z7"/>
    <w:link w:val="Style_16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Style27"/>
    <w:link w:val="Style_138_ch"/>
    <w:qFormat/>
    <w:pPr/>
    <w:rPr>
      <w:b/>
      <w:sz w:val="32"/>
    </w:rPr>
  </w:style>
  <w:style w:type="paragraph" w:styleId="Internetlink">
    <w:name w:val="Hyperlink"/>
    <w:link w:val="Style_12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WW8Num5z01">
    <w:name w:val="WW8Num5z0"/>
    <w:link w:val="Style_18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61">
    <w:name w:val="Contents 6"/>
    <w:link w:val="Style_16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5">
    <w:name w:val="TOC 1"/>
    <w:next w:val="Normal"/>
    <w:link w:val="Style_134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50">
    <w:name w:val="Заголовок таблицы"/>
    <w:basedOn w:val="Style37"/>
    <w:link w:val="Style_204_ch"/>
    <w:qFormat/>
    <w:pPr/>
    <w:rPr>
      <w:b/>
    </w:rPr>
  </w:style>
  <w:style w:type="paragraph" w:styleId="WW8Num6z21">
    <w:name w:val="WW8Num6z2"/>
    <w:link w:val="Style_17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11">
    <w:name w:val="WW8Num5z1"/>
    <w:link w:val="Style_18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3">
    <w:name w:val="Заголовок 6 Знак"/>
    <w:basedOn w:val="Style38"/>
    <w:link w:val="Style_181_ch"/>
    <w:qFormat/>
    <w:pPr/>
    <w:rPr>
      <w:rFonts w:ascii="Cambria" w:hAnsi="Cambria"/>
      <w:i/>
      <w:color w:val="243F60"/>
    </w:rPr>
  </w:style>
  <w:style w:type="paragraph" w:styleId="Style51">
    <w:name w:val="Выделенная цитата Знак"/>
    <w:basedOn w:val="Style38"/>
    <w:link w:val="Style_228_ch"/>
    <w:qFormat/>
    <w:pPr/>
    <w:rPr>
      <w:b/>
      <w:i/>
      <w:color w:val="4F81BD"/>
    </w:rPr>
  </w:style>
  <w:style w:type="paragraph" w:styleId="Contents31">
    <w:name w:val="Contents 3"/>
    <w:link w:val="Style_16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31">
    <w:name w:val="WW8Num1z3"/>
    <w:link w:val="Style_16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61">
    <w:name w:val="WW8Num2z6"/>
    <w:link w:val="Style_18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93">
    <w:name w:val="TOC 9"/>
    <w:next w:val="Normal"/>
    <w:link w:val="Style_153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2">
    <w:name w:val="Интернет-ссылка"/>
    <w:link w:val="Style_17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WW8Num7z11">
    <w:name w:val="WW8Num7z1"/>
    <w:link w:val="Style_2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83">
    <w:name w:val="TOC 8"/>
    <w:next w:val="Normal"/>
    <w:link w:val="Style_165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81">
    <w:name w:val="WW8Num1z8"/>
    <w:link w:val="Style_17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91">
    <w:name w:val="Contents 9"/>
    <w:link w:val="Style_23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3">
    <w:name w:val="Title"/>
    <w:next w:val="Normal"/>
    <w:link w:val="Style_216_ch"/>
    <w:uiPriority w:val="10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52"/>
      <w:szCs w:val="20"/>
      <w:lang w:val="ru-RU" w:eastAsia="zh-CN" w:bidi="hi-IN"/>
    </w:rPr>
  </w:style>
  <w:style w:type="paragraph" w:styleId="WW8Num2z81">
    <w:name w:val="WW8Num2z8"/>
    <w:link w:val="Style_19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3">
    <w:name w:val="TOC 5"/>
    <w:next w:val="Normal"/>
    <w:link w:val="Style_184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21">
    <w:name w:val="Contents 2"/>
    <w:link w:val="Style_23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51">
    <w:name w:val="WW8Num2z5"/>
    <w:link w:val="Style_2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4">
    <w:name w:val="Сильная ссылка"/>
    <w:basedOn w:val="Style38"/>
    <w:link w:val="Style_219_ch"/>
    <w:qFormat/>
    <w:pPr/>
    <w:rPr>
      <w:b/>
      <w:smallCaps/>
      <w:color w:val="C0504D"/>
      <w:spacing w:val="5"/>
      <w:u w:val="single"/>
    </w:rPr>
  </w:style>
  <w:style w:type="paragraph" w:styleId="Style55">
    <w:name w:val="Subtitle"/>
    <w:basedOn w:val="Normal"/>
    <w:next w:val="Normal"/>
    <w:link w:val="Style_206_ch"/>
    <w:uiPriority w:val="11"/>
    <w:qFormat/>
    <w:pPr/>
    <w:rPr>
      <w:rFonts w:ascii="Cambria" w:hAnsi="Cambria"/>
      <w:i/>
      <w:color w:val="4F81BD"/>
      <w:spacing w:val="15"/>
      <w:sz w:val="24"/>
    </w:rPr>
  </w:style>
  <w:style w:type="paragraph" w:styleId="WW8Num5z21">
    <w:name w:val="WW8Num5z2"/>
    <w:link w:val="Style_2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oc101">
    <w:name w:val="toc 10"/>
    <w:next w:val="Normal"/>
    <w:link w:val="Style_214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31">
    <w:name w:val="WW8Num5z3"/>
    <w:link w:val="Style_22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table" w:default="1" w:styleId="Style_4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>
          <a:solidFill>
            <a:schemeClr val="phClr">
              <a:shade val="95%"/>
              <a:satMod val="105%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Application>LibreOffice/6.4.7.2$Linux_X86_64 LibreOffice_project/40$Build-2</Application>
  <Pages>5</Pages>
  <Words>1621</Words>
  <Characters>11537</Characters>
  <CharactersWithSpaces>13202</CharactersWithSpaces>
  <Paragraphs>100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2025-06-19T11:05:56Z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